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9A9" w:rsidRPr="006079A9" w:rsidRDefault="006079A9" w:rsidP="006079A9">
      <w:pPr>
        <w:tabs>
          <w:tab w:val="center" w:pos="4536"/>
          <w:tab w:val="right" w:pos="7938"/>
          <w:tab w:val="right" w:pos="9090"/>
        </w:tabs>
        <w:ind w:right="2"/>
        <w:rPr>
          <w:b/>
          <w:bCs/>
          <w:sz w:val="24"/>
        </w:rPr>
      </w:pPr>
      <w:r w:rsidRPr="006079A9">
        <w:rPr>
          <w:b/>
          <w:bCs/>
          <w:sz w:val="24"/>
        </w:rPr>
        <w:t>3GPP TSG RAN WG1 #110</w:t>
      </w:r>
      <w:r>
        <w:rPr>
          <w:b/>
          <w:bCs/>
          <w:sz w:val="24"/>
        </w:rPr>
        <w:tab/>
      </w:r>
      <w:r w:rsidR="00404951">
        <w:rPr>
          <w:b/>
          <w:bCs/>
          <w:sz w:val="24"/>
        </w:rPr>
        <w:t xml:space="preserve">                                                                                 </w:t>
      </w:r>
      <w:r w:rsidR="006957FF">
        <w:rPr>
          <w:b/>
          <w:bCs/>
          <w:sz w:val="24"/>
        </w:rPr>
        <w:t xml:space="preserve"> </w:t>
      </w:r>
      <w:r w:rsidR="006957FF" w:rsidRPr="006957FF">
        <w:rPr>
          <w:b/>
          <w:bCs/>
          <w:sz w:val="24"/>
        </w:rPr>
        <w:t>R1-2206330</w:t>
      </w:r>
      <w:r>
        <w:rPr>
          <w:b/>
          <w:bCs/>
          <w:sz w:val="24"/>
        </w:rPr>
        <w:tab/>
      </w:r>
    </w:p>
    <w:p w:rsidR="006079A9" w:rsidRPr="006079A9" w:rsidRDefault="006079A9" w:rsidP="006079A9">
      <w:pPr>
        <w:tabs>
          <w:tab w:val="center" w:pos="4536"/>
          <w:tab w:val="right" w:pos="9072"/>
        </w:tabs>
        <w:rPr>
          <w:rFonts w:eastAsia="MS Mincho"/>
          <w:b/>
          <w:bCs/>
          <w:sz w:val="24"/>
          <w:lang w:eastAsia="ja-JP"/>
        </w:rPr>
      </w:pPr>
      <w:r w:rsidRPr="006079A9">
        <w:rPr>
          <w:rFonts w:eastAsia="MS Mincho"/>
          <w:b/>
          <w:bCs/>
          <w:sz w:val="24"/>
          <w:lang w:eastAsia="ja-JP"/>
        </w:rPr>
        <w:t>Toulouse, France, August 22</w:t>
      </w:r>
      <w:r w:rsidRPr="006079A9">
        <w:rPr>
          <w:rFonts w:eastAsia="MS Mincho"/>
          <w:b/>
          <w:bCs/>
          <w:sz w:val="24"/>
          <w:vertAlign w:val="superscript"/>
          <w:lang w:eastAsia="ja-JP"/>
        </w:rPr>
        <w:t>nd</w:t>
      </w:r>
      <w:r w:rsidRPr="006079A9">
        <w:rPr>
          <w:rFonts w:eastAsia="MS Mincho"/>
          <w:b/>
          <w:bCs/>
          <w:sz w:val="24"/>
          <w:lang w:eastAsia="ja-JP"/>
        </w:rPr>
        <w:t xml:space="preserve"> – 26</w:t>
      </w:r>
      <w:r w:rsidRPr="006079A9">
        <w:rPr>
          <w:rFonts w:eastAsia="MS Mincho"/>
          <w:b/>
          <w:bCs/>
          <w:sz w:val="24"/>
          <w:vertAlign w:val="superscript"/>
          <w:lang w:eastAsia="ja-JP"/>
        </w:rPr>
        <w:t>th</w:t>
      </w:r>
      <w:r w:rsidRPr="006079A9">
        <w:rPr>
          <w:rFonts w:eastAsia="MS Mincho"/>
          <w:b/>
          <w:bCs/>
          <w:sz w:val="24"/>
          <w:lang w:eastAsia="ja-JP"/>
        </w:rPr>
        <w:t>, 2022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6079A9" w:rsidRPr="006079A9">
        <w:rPr>
          <w:rFonts w:ascii="Times New Roman" w:hAnsi="Times New Roman"/>
          <w:sz w:val="22"/>
          <w:szCs w:val="22"/>
        </w:rPr>
        <w:t>Discussion on side control information for NCR</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6079A9">
        <w:rPr>
          <w:rFonts w:ascii="Times New Roman" w:hAnsi="Times New Roman"/>
          <w:sz w:val="22"/>
          <w:szCs w:val="22"/>
        </w:rPr>
        <w:t>9.8</w:t>
      </w:r>
      <w:r w:rsidR="001F0794" w:rsidRPr="001F0794">
        <w:rPr>
          <w:rFonts w:ascii="Times New Roman" w:hAnsi="Times New Roman"/>
          <w:sz w:val="22"/>
          <w:szCs w:val="22"/>
        </w:rPr>
        <w:t>.</w:t>
      </w:r>
      <w:r w:rsidR="006079A9">
        <w:rPr>
          <w:rFonts w:ascii="Times New Roman" w:hAnsi="Times New Roman"/>
          <w:sz w:val="22"/>
          <w:szCs w:val="22"/>
        </w:rPr>
        <w:t>1</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CC07B2" w:rsidRDefault="00BE4E43" w:rsidP="00CC07B2">
      <w:pPr>
        <w:jc w:val="both"/>
        <w:rPr>
          <w:rFonts w:eastAsiaTheme="minorEastAsia"/>
          <w:bCs/>
          <w:szCs w:val="20"/>
          <w:lang w:eastAsia="zh-CN"/>
        </w:rPr>
      </w:pPr>
      <w:r>
        <w:rPr>
          <w:rFonts w:eastAsiaTheme="minorEastAsia"/>
          <w:bCs/>
          <w:szCs w:val="20"/>
          <w:lang w:eastAsia="zh-CN"/>
        </w:rPr>
        <w:t xml:space="preserve">This contribution further discusses the aspects of NCR, including timing, power control and ON-OFF control, based on the following </w:t>
      </w:r>
      <w:r w:rsidR="00EF0730">
        <w:rPr>
          <w:rFonts w:eastAsiaTheme="minorEastAsia"/>
          <w:bCs/>
          <w:szCs w:val="20"/>
          <w:lang w:eastAsia="zh-CN"/>
        </w:rPr>
        <w:t>NCR functional entity agreed in</w:t>
      </w:r>
      <w:r>
        <w:rPr>
          <w:rFonts w:eastAsiaTheme="minorEastAsia"/>
          <w:bCs/>
          <w:szCs w:val="20"/>
          <w:lang w:eastAsia="zh-CN"/>
        </w:rPr>
        <w:t xml:space="preserve"> RAN1 #109e</w:t>
      </w:r>
      <w:r w:rsidR="00FB48E3">
        <w:rPr>
          <w:rFonts w:eastAsiaTheme="minorEastAsia"/>
          <w:bCs/>
          <w:szCs w:val="20"/>
          <w:lang w:eastAsia="zh-CN"/>
        </w:rPr>
        <w:t xml:space="preserve"> as well as the conclusion from RAN #96 that the study focuses on the case where NCR-Fwd carrier and NCR-MT carrier are in-band carriers</w:t>
      </w:r>
      <w:r>
        <w:rPr>
          <w:rFonts w:eastAsiaTheme="minorEastAsia"/>
          <w:bCs/>
          <w:szCs w:val="20"/>
          <w:lang w:eastAsia="zh-CN"/>
        </w:rPr>
        <w:t xml:space="preserve">. </w:t>
      </w:r>
    </w:p>
    <w:p w:rsidR="00BE4E43" w:rsidRDefault="00BE4E43" w:rsidP="00DC0412">
      <w:pPr>
        <w:rPr>
          <w:rFonts w:eastAsiaTheme="minorEastAsia"/>
          <w:lang w:eastAsia="zh-CN"/>
        </w:rPr>
      </w:pPr>
    </w:p>
    <w:p w:rsidR="00971DC1" w:rsidRPr="00971DC1" w:rsidRDefault="00971DC1" w:rsidP="00DC0412">
      <w:pPr>
        <w:rPr>
          <w:highlight w:val="green"/>
          <w:lang w:eastAsia="zh-CN"/>
        </w:rPr>
      </w:pPr>
      <w:r w:rsidRPr="00971DC1">
        <w:rPr>
          <w:b/>
          <w:highlight w:val="green"/>
          <w:lang w:eastAsia="zh-CN"/>
        </w:rPr>
        <w:t>Agreement</w:t>
      </w:r>
    </w:p>
    <w:p w:rsidR="00971DC1" w:rsidRPr="00971DC1" w:rsidRDefault="00971DC1" w:rsidP="00971DC1">
      <w:pPr>
        <w:snapToGrid w:val="0"/>
        <w:rPr>
          <w:szCs w:val="20"/>
          <w:lang w:eastAsia="zh-CN"/>
        </w:rPr>
      </w:pPr>
      <w:r w:rsidRPr="00971DC1">
        <w:rPr>
          <w:szCs w:val="20"/>
          <w:lang w:eastAsia="zh-CN"/>
        </w:rPr>
        <w:t>Capture the following model of network-controlled repeater in TR 38.867.</w:t>
      </w:r>
    </w:p>
    <w:p w:rsidR="00971DC1" w:rsidRPr="00971DC1" w:rsidRDefault="00971DC1" w:rsidP="00971DC1">
      <w:pPr>
        <w:pStyle w:val="Proposal"/>
        <w:spacing w:after="0"/>
        <w:ind w:left="1440" w:firstLine="0"/>
        <w:jc w:val="center"/>
      </w:pPr>
      <w:r w:rsidRPr="00971DC1">
        <w:rPr>
          <w:noProof/>
          <w:lang w:val="en-US"/>
        </w:rPr>
        <w:drawing>
          <wp:inline distT="0" distB="0" distL="0" distR="0">
            <wp:extent cx="3752850" cy="929005"/>
            <wp:effectExtent l="19050" t="0" r="0" b="0"/>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srcRect/>
                    <a:stretch>
                      <a:fillRect/>
                    </a:stretch>
                  </pic:blipFill>
                  <pic:spPr bwMode="auto">
                    <a:xfrm>
                      <a:off x="0" y="0"/>
                      <a:ext cx="3752850" cy="929005"/>
                    </a:xfrm>
                    <a:prstGeom prst="rect">
                      <a:avLst/>
                    </a:prstGeom>
                    <a:noFill/>
                    <a:ln w="9525">
                      <a:noFill/>
                      <a:miter lim="800000"/>
                      <a:headEnd/>
                      <a:tailEnd/>
                    </a:ln>
                  </pic:spPr>
                </pic:pic>
              </a:graphicData>
            </a:graphic>
          </wp:inline>
        </w:drawing>
      </w:r>
    </w:p>
    <w:p w:rsidR="00971DC1" w:rsidRPr="00971DC1" w:rsidRDefault="00971DC1" w:rsidP="00971DC1">
      <w:pPr>
        <w:pStyle w:val="ListParagraph"/>
        <w:numPr>
          <w:ilvl w:val="0"/>
          <w:numId w:val="21"/>
        </w:numPr>
        <w:snapToGrid w:val="0"/>
        <w:ind w:firstLineChars="0"/>
        <w:rPr>
          <w:rFonts w:ascii="Times New Roman" w:eastAsia="Malgun Gothic" w:hAnsi="Times New Roman" w:cs="Times New Roman"/>
          <w:sz w:val="20"/>
          <w:szCs w:val="20"/>
        </w:rPr>
      </w:pPr>
      <w:r w:rsidRPr="00971DC1">
        <w:rPr>
          <w:rFonts w:ascii="Times New Roman" w:eastAsia="Malgun Gothic" w:hAnsi="Times New Roman" w:cs="Times New Roman"/>
          <w:sz w:val="20"/>
          <w:szCs w:val="20"/>
        </w:rPr>
        <w:t>The NCR-MT is defined as a function entity to communicate with a gNB via Control link (C-link) to enable the information exchanges (e.g. side control information). The C-link is based on NR Uu interface.</w:t>
      </w:r>
    </w:p>
    <w:p w:rsidR="00971DC1" w:rsidRPr="00971DC1" w:rsidRDefault="00971DC1" w:rsidP="00971DC1">
      <w:pPr>
        <w:pStyle w:val="ListParagraph"/>
        <w:numPr>
          <w:ilvl w:val="1"/>
          <w:numId w:val="21"/>
        </w:numPr>
        <w:snapToGrid w:val="0"/>
        <w:ind w:firstLineChars="0"/>
        <w:rPr>
          <w:rFonts w:ascii="Times New Roman" w:eastAsia="Malgun Gothic" w:hAnsi="Times New Roman" w:cs="Times New Roman"/>
          <w:sz w:val="20"/>
          <w:szCs w:val="20"/>
        </w:rPr>
      </w:pPr>
      <w:r w:rsidRPr="00971DC1">
        <w:rPr>
          <w:rFonts w:ascii="Times New Roman" w:eastAsia="Malgun Gothic" w:hAnsi="Times New Roman" w:cs="Times New Roman"/>
          <w:sz w:val="20"/>
          <w:szCs w:val="20"/>
        </w:rPr>
        <w:t>Note: Side control information is at least for the control of NCR-Fwd</w:t>
      </w:r>
    </w:p>
    <w:p w:rsidR="00674D58" w:rsidRPr="006222E5" w:rsidRDefault="00971DC1" w:rsidP="006222E5">
      <w:pPr>
        <w:pStyle w:val="ListParagraph"/>
        <w:numPr>
          <w:ilvl w:val="0"/>
          <w:numId w:val="21"/>
        </w:numPr>
        <w:snapToGrid w:val="0"/>
        <w:ind w:firstLineChars="0"/>
        <w:rPr>
          <w:rFonts w:ascii="Times New Roman" w:eastAsia="Malgun Gothic" w:hAnsi="Times New Roman" w:cs="Times New Roman"/>
          <w:sz w:val="20"/>
          <w:szCs w:val="20"/>
        </w:rPr>
      </w:pPr>
      <w:r w:rsidRPr="00971DC1">
        <w:rPr>
          <w:rFonts w:ascii="Times New Roman" w:eastAsia="Malgun Gothic" w:hAnsi="Times New Roman" w:cs="Times New Roman"/>
          <w:sz w:val="20"/>
          <w:szCs w:val="20"/>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rsidR="00D76449" w:rsidRDefault="00623E6E" w:rsidP="00CC07B2">
      <w:pPr>
        <w:pStyle w:val="Heading1"/>
        <w:rPr>
          <w:rFonts w:ascii="Times New Roman" w:hAnsi="Times New Roman" w:cs="Times New Roman"/>
        </w:rPr>
      </w:pPr>
      <w:r w:rsidRPr="009C2740">
        <w:rPr>
          <w:rFonts w:ascii="Times New Roman" w:hAnsi="Times New Roman" w:cs="Times New Roman" w:hint="eastAsia"/>
        </w:rPr>
        <w:t xml:space="preserve">Discussion </w:t>
      </w:r>
    </w:p>
    <w:p w:rsidR="00283CEC" w:rsidRDefault="00DC0412" w:rsidP="001F4F62">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Timing</w:t>
      </w:r>
    </w:p>
    <w:p w:rsidR="00EF0730" w:rsidRDefault="00EF0730" w:rsidP="00DC0412">
      <w:pPr>
        <w:pStyle w:val="BodyText"/>
        <w:tabs>
          <w:tab w:val="left" w:pos="1843"/>
        </w:tabs>
        <w:rPr>
          <w:rFonts w:eastAsiaTheme="minorEastAsia"/>
          <w:lang w:eastAsia="zh-CN"/>
        </w:rPr>
      </w:pPr>
      <w:r>
        <w:rPr>
          <w:rFonts w:eastAsiaTheme="minorEastAsia"/>
          <w:lang w:eastAsia="zh-CN"/>
        </w:rPr>
        <w:t xml:space="preserve">The discussion in this section relates to the following agreements in RAN1 #109e. </w:t>
      </w:r>
    </w:p>
    <w:tbl>
      <w:tblPr>
        <w:tblStyle w:val="TableGrid"/>
        <w:tblW w:w="0" w:type="auto"/>
        <w:tblLook w:val="04A0"/>
      </w:tblPr>
      <w:tblGrid>
        <w:gridCol w:w="9288"/>
      </w:tblGrid>
      <w:tr w:rsidR="00EF0730" w:rsidTr="00EF0730">
        <w:tc>
          <w:tcPr>
            <w:tcW w:w="9288" w:type="dxa"/>
          </w:tcPr>
          <w:p w:rsidR="009E0195" w:rsidRPr="00946286" w:rsidRDefault="009E0195" w:rsidP="009E0195">
            <w:pPr>
              <w:pStyle w:val="NormalWeb"/>
              <w:shd w:val="clear" w:color="auto" w:fill="FFFFFF"/>
              <w:spacing w:before="0" w:beforeAutospacing="0" w:after="0" w:afterAutospacing="0"/>
              <w:outlineLvl w:val="0"/>
              <w:rPr>
                <w:rStyle w:val="Emphasis"/>
                <w:rFonts w:ascii="Times" w:hAnsi="Times" w:cs="Times"/>
                <w:b/>
                <w:bCs/>
                <w:i w:val="0"/>
                <w:sz w:val="20"/>
                <w:szCs w:val="20"/>
                <w:highlight w:val="green"/>
                <w:shd w:val="clear" w:color="auto" w:fill="FFFF00"/>
              </w:rPr>
            </w:pPr>
            <w:r w:rsidRPr="00946286">
              <w:rPr>
                <w:rStyle w:val="Emphasis"/>
                <w:rFonts w:ascii="Times" w:hAnsi="Times" w:cs="Times"/>
                <w:b/>
                <w:bCs/>
                <w:i w:val="0"/>
                <w:sz w:val="20"/>
                <w:szCs w:val="20"/>
                <w:highlight w:val="green"/>
              </w:rPr>
              <w:t>Agreement</w:t>
            </w:r>
          </w:p>
          <w:p w:rsidR="009E0195" w:rsidRPr="00645697" w:rsidRDefault="009E0195" w:rsidP="009E0195">
            <w:pPr>
              <w:shd w:val="clear" w:color="auto" w:fill="FFFFFF"/>
              <w:snapToGrid w:val="0"/>
              <w:rPr>
                <w:rFonts w:cs="Times"/>
                <w:bCs/>
                <w:iCs/>
                <w:lang w:eastAsia="zh-CN"/>
              </w:rPr>
            </w:pPr>
            <w:r w:rsidRPr="00645697">
              <w:rPr>
                <w:rFonts w:cs="Times"/>
                <w:bCs/>
                <w:iCs/>
                <w:lang w:eastAsia="zh-CN"/>
              </w:rPr>
              <w:t>Capture the following assumption of network-controlled repeater in TR 38.867.</w:t>
            </w:r>
          </w:p>
          <w:p w:rsidR="009E0195" w:rsidRPr="00645697" w:rsidRDefault="009E0195" w:rsidP="009E0195">
            <w:pPr>
              <w:numPr>
                <w:ilvl w:val="0"/>
                <w:numId w:val="25"/>
              </w:numPr>
              <w:shd w:val="clear" w:color="auto" w:fill="FFFFFF"/>
              <w:snapToGrid w:val="0"/>
              <w:rPr>
                <w:rFonts w:cs="Times"/>
                <w:bCs/>
                <w:iCs/>
                <w:lang w:eastAsia="zh-CN"/>
              </w:rPr>
            </w:pPr>
            <w:r w:rsidRPr="00645697">
              <w:rPr>
                <w:rFonts w:cs="Times"/>
                <w:bCs/>
                <w:iCs/>
                <w:lang w:eastAsia="zh-CN"/>
              </w:rPr>
              <w:t>As baseline, same large-scale properties of the channel, i.e., channel properties in Type-A and Type-D (if applicable), are expected to be experienced by C-link and backhaul link (at least when the NCR-MT and NCR-Fwd operating in same carrier). </w:t>
            </w:r>
          </w:p>
          <w:p w:rsidR="009E0195" w:rsidRDefault="009E0195" w:rsidP="00EF0730">
            <w:pPr>
              <w:rPr>
                <w:b/>
                <w:highlight w:val="green"/>
                <w:lang w:eastAsia="zh-CN"/>
              </w:rPr>
            </w:pPr>
          </w:p>
          <w:p w:rsidR="00EF0730" w:rsidRPr="00DC0412" w:rsidRDefault="00EF0730" w:rsidP="00EF0730">
            <w:pPr>
              <w:rPr>
                <w:b/>
                <w:highlight w:val="green"/>
                <w:lang w:eastAsia="zh-CN"/>
              </w:rPr>
            </w:pPr>
            <w:r w:rsidRPr="00DC0412">
              <w:rPr>
                <w:b/>
                <w:highlight w:val="green"/>
                <w:lang w:eastAsia="zh-CN"/>
              </w:rPr>
              <w:t>Agreement</w:t>
            </w:r>
          </w:p>
          <w:p w:rsidR="00EF0730" w:rsidRPr="00674D58" w:rsidRDefault="00EF0730" w:rsidP="00EF0730">
            <w:pPr>
              <w:rPr>
                <w:szCs w:val="20"/>
              </w:rPr>
            </w:pPr>
            <w:r w:rsidRPr="00674D58">
              <w:rPr>
                <w:iCs/>
                <w:szCs w:val="20"/>
              </w:rPr>
              <w:t>For the timing of NCR, the following assumption is considered as baseline:</w:t>
            </w:r>
          </w:p>
          <w:p w:rsidR="00EF0730" w:rsidRPr="00674D58" w:rsidRDefault="00EF0730" w:rsidP="00EF0730">
            <w:pPr>
              <w:pStyle w:val="ListParagraph"/>
              <w:numPr>
                <w:ilvl w:val="0"/>
                <w:numId w:val="21"/>
              </w:numPr>
              <w:snapToGrid w:val="0"/>
              <w:ind w:firstLineChars="0"/>
              <w:rPr>
                <w:rFonts w:ascii="Times New Roman" w:eastAsia="Malgun Gothic" w:hAnsi="Times New Roman" w:cs="Times New Roman"/>
                <w:iCs/>
                <w:sz w:val="20"/>
                <w:szCs w:val="20"/>
              </w:rPr>
            </w:pPr>
            <w:r w:rsidRPr="00674D58">
              <w:rPr>
                <w:rFonts w:ascii="Times New Roman" w:eastAsia="Malgun Gothic" w:hAnsi="Times New Roman" w:cs="Times New Roman"/>
                <w:sz w:val="20"/>
                <w:szCs w:val="20"/>
              </w:rPr>
              <w:t>The DL receiving timing of the NCR-Fwd is aligned with the DL receiving timing of the NCR-MT.</w:t>
            </w:r>
          </w:p>
          <w:p w:rsidR="00EF0730" w:rsidRPr="00674D58" w:rsidRDefault="00EF0730" w:rsidP="00EF0730">
            <w:pPr>
              <w:pStyle w:val="ListParagraph"/>
              <w:numPr>
                <w:ilvl w:val="0"/>
                <w:numId w:val="21"/>
              </w:numPr>
              <w:snapToGrid w:val="0"/>
              <w:ind w:firstLineChars="0"/>
              <w:rPr>
                <w:rFonts w:ascii="Times New Roman" w:eastAsia="Malgun Gothic" w:hAnsi="Times New Roman" w:cs="Times New Roman"/>
                <w:iCs/>
                <w:sz w:val="20"/>
                <w:szCs w:val="20"/>
              </w:rPr>
            </w:pPr>
            <w:r w:rsidRPr="00674D58">
              <w:rPr>
                <w:rFonts w:ascii="Times New Roman" w:eastAsia="Malgun Gothic" w:hAnsi="Times New Roman" w:cs="Times New Roman"/>
                <w:sz w:val="20"/>
                <w:szCs w:val="20"/>
              </w:rPr>
              <w:t>The UL transmitting timing of the NCR-Fwd is aligned with the UL transmitting timing of the NCR-MT.</w:t>
            </w:r>
          </w:p>
          <w:p w:rsidR="00EF0730" w:rsidRPr="00674D58" w:rsidRDefault="00EF0730" w:rsidP="00EF0730">
            <w:pPr>
              <w:pStyle w:val="ListParagraph"/>
              <w:numPr>
                <w:ilvl w:val="0"/>
                <w:numId w:val="21"/>
              </w:numPr>
              <w:snapToGrid w:val="0"/>
              <w:ind w:firstLineChars="0"/>
              <w:rPr>
                <w:rFonts w:ascii="Times New Roman" w:eastAsia="Malgun Gothic" w:hAnsi="Times New Roman" w:cs="Times New Roman"/>
                <w:iCs/>
                <w:sz w:val="20"/>
                <w:szCs w:val="20"/>
              </w:rPr>
            </w:pPr>
            <w:r w:rsidRPr="00674D58">
              <w:rPr>
                <w:rFonts w:ascii="Times New Roman" w:eastAsia="Malgun Gothic" w:hAnsi="Times New Roman" w:cs="Times New Roman"/>
                <w:sz w:val="20"/>
                <w:szCs w:val="20"/>
              </w:rPr>
              <w:t>FFS: the impact of internal delay on the following timing relationships:</w:t>
            </w:r>
          </w:p>
          <w:p w:rsidR="00EF0730" w:rsidRPr="00674D58" w:rsidRDefault="00EF0730" w:rsidP="00EF0730">
            <w:pPr>
              <w:pStyle w:val="ListParagraph"/>
              <w:numPr>
                <w:ilvl w:val="1"/>
                <w:numId w:val="21"/>
              </w:numPr>
              <w:snapToGrid w:val="0"/>
              <w:ind w:firstLineChars="0"/>
              <w:rPr>
                <w:rFonts w:ascii="Times New Roman" w:eastAsia="Malgun Gothic" w:hAnsi="Times New Roman" w:cs="Times New Roman"/>
                <w:iCs/>
                <w:sz w:val="20"/>
                <w:szCs w:val="20"/>
              </w:rPr>
            </w:pPr>
            <w:r w:rsidRPr="00674D58">
              <w:rPr>
                <w:rFonts w:ascii="Times New Roman" w:eastAsia="Malgun Gothic" w:hAnsi="Times New Roman" w:cs="Times New Roman"/>
                <w:iCs/>
                <w:sz w:val="20"/>
                <w:szCs w:val="20"/>
              </w:rPr>
              <w:t>The DL receiving timing and DL transmitting timing of the NCR-Fwd</w:t>
            </w:r>
          </w:p>
          <w:p w:rsidR="00EF0730" w:rsidRPr="00674D58" w:rsidRDefault="00EF0730" w:rsidP="00EF0730">
            <w:pPr>
              <w:pStyle w:val="ListParagraph"/>
              <w:numPr>
                <w:ilvl w:val="1"/>
                <w:numId w:val="21"/>
              </w:numPr>
              <w:snapToGrid w:val="0"/>
              <w:ind w:firstLineChars="0"/>
              <w:rPr>
                <w:rFonts w:ascii="Times New Roman" w:eastAsia="Malgun Gothic" w:hAnsi="Times New Roman" w:cs="Times New Roman"/>
                <w:iCs/>
                <w:sz w:val="20"/>
                <w:szCs w:val="20"/>
              </w:rPr>
            </w:pPr>
            <w:r w:rsidRPr="00674D58">
              <w:rPr>
                <w:rFonts w:ascii="Times New Roman" w:eastAsia="Malgun Gothic" w:hAnsi="Times New Roman" w:cs="Times New Roman"/>
                <w:iCs/>
                <w:sz w:val="20"/>
                <w:szCs w:val="20"/>
              </w:rPr>
              <w:t>The UL transmitting timing and UL receiving timing of the NCR-Fwd</w:t>
            </w:r>
          </w:p>
          <w:p w:rsidR="00EF0730" w:rsidRDefault="00EF0730" w:rsidP="00EF0730">
            <w:pPr>
              <w:jc w:val="both"/>
              <w:rPr>
                <w:rFonts w:eastAsiaTheme="minorEastAsia"/>
                <w:bCs/>
                <w:szCs w:val="20"/>
                <w:lang w:eastAsia="zh-CN"/>
              </w:rPr>
            </w:pPr>
          </w:p>
          <w:p w:rsidR="00EF0730" w:rsidRPr="00DC0412" w:rsidRDefault="00EF0730" w:rsidP="00EF0730">
            <w:pPr>
              <w:rPr>
                <w:b/>
                <w:highlight w:val="green"/>
                <w:lang w:eastAsia="zh-CN"/>
              </w:rPr>
            </w:pPr>
            <w:r w:rsidRPr="00DC0412">
              <w:rPr>
                <w:b/>
                <w:highlight w:val="green"/>
                <w:lang w:eastAsia="zh-CN"/>
              </w:rPr>
              <w:t>Agreement</w:t>
            </w:r>
          </w:p>
          <w:p w:rsidR="00EF0730" w:rsidRPr="00DC0412" w:rsidRDefault="00EF0730" w:rsidP="00EF0730">
            <w:pPr>
              <w:pStyle w:val="NormalWeb"/>
              <w:spacing w:before="0" w:beforeAutospacing="0" w:after="0" w:afterAutospacing="0"/>
              <w:rPr>
                <w:rFonts w:ascii="Times New Roman" w:hAnsi="Times New Roman" w:cs="Times New Roman"/>
                <w:sz w:val="20"/>
                <w:szCs w:val="20"/>
              </w:rPr>
            </w:pPr>
            <w:r w:rsidRPr="00DC0412">
              <w:rPr>
                <w:rFonts w:ascii="Times New Roman" w:hAnsi="Times New Roman" w:cs="Times New Roman"/>
                <w:sz w:val="20"/>
                <w:szCs w:val="20"/>
              </w:rPr>
              <w:t>Recommend to capture the following examples of the transmission/reception of C-link and backhaul link by NCR in TR 38.867.</w:t>
            </w:r>
          </w:p>
          <w:p w:rsidR="00EF0730" w:rsidRPr="00DC0412" w:rsidRDefault="00EF0730" w:rsidP="00EF0730">
            <w:pPr>
              <w:pStyle w:val="ListParagraph"/>
              <w:numPr>
                <w:ilvl w:val="0"/>
                <w:numId w:val="22"/>
              </w:numPr>
              <w:ind w:firstLineChars="0"/>
              <w:jc w:val="both"/>
              <w:rPr>
                <w:rFonts w:ascii="Times New Roman" w:hAnsi="Times New Roman" w:cs="Times New Roman"/>
                <w:sz w:val="20"/>
                <w:szCs w:val="20"/>
              </w:rPr>
            </w:pPr>
            <w:r w:rsidRPr="00DC0412">
              <w:rPr>
                <w:rFonts w:ascii="Times New Roman" w:hAnsi="Times New Roman" w:cs="Times New Roman"/>
                <w:sz w:val="20"/>
                <w:szCs w:val="20"/>
              </w:rPr>
              <w:t>The DL of C-link and DL of backhaul link can be performed simultaneously or in TDM way.</w:t>
            </w:r>
          </w:p>
          <w:p w:rsidR="00EF0730" w:rsidRPr="00DC0412" w:rsidRDefault="00EF0730" w:rsidP="00EF0730">
            <w:pPr>
              <w:pStyle w:val="ListParagraph"/>
              <w:numPr>
                <w:ilvl w:val="0"/>
                <w:numId w:val="22"/>
              </w:numPr>
              <w:ind w:firstLineChars="0"/>
              <w:jc w:val="both"/>
              <w:rPr>
                <w:rFonts w:ascii="Times New Roman" w:hAnsi="Times New Roman" w:cs="Times New Roman"/>
                <w:sz w:val="20"/>
                <w:szCs w:val="20"/>
              </w:rPr>
            </w:pPr>
            <w:r w:rsidRPr="00DC0412">
              <w:rPr>
                <w:rFonts w:ascii="Times New Roman" w:hAnsi="Times New Roman" w:cs="Times New Roman"/>
                <w:sz w:val="20"/>
                <w:szCs w:val="20"/>
              </w:rPr>
              <w:t>The UL of C-link and UL of backhaul link can be performed in TDM way</w:t>
            </w:r>
          </w:p>
          <w:p w:rsidR="00EF0730" w:rsidRPr="00DC0412" w:rsidRDefault="00EF0730" w:rsidP="00EF0730">
            <w:pPr>
              <w:pStyle w:val="ListParagraph"/>
              <w:numPr>
                <w:ilvl w:val="0"/>
                <w:numId w:val="22"/>
              </w:numPr>
              <w:ind w:firstLineChars="0"/>
              <w:jc w:val="both"/>
              <w:rPr>
                <w:rFonts w:ascii="Times New Roman" w:hAnsi="Times New Roman" w:cs="Times New Roman"/>
                <w:sz w:val="20"/>
                <w:szCs w:val="20"/>
              </w:rPr>
            </w:pPr>
            <w:r w:rsidRPr="00DC0412">
              <w:rPr>
                <w:rFonts w:ascii="Times New Roman" w:hAnsi="Times New Roman" w:cs="Times New Roman"/>
                <w:sz w:val="20"/>
                <w:szCs w:val="20"/>
                <w:shd w:val="clear" w:color="auto" w:fill="FFFFFF"/>
              </w:rPr>
              <w:t>Note-1: Multiplexing is under the control of gNB with consideration for NCR capability</w:t>
            </w:r>
          </w:p>
          <w:p w:rsidR="00EF0730" w:rsidRPr="00EF0730" w:rsidRDefault="00EF0730" w:rsidP="00EF0730">
            <w:pPr>
              <w:pStyle w:val="ListParagraph"/>
              <w:numPr>
                <w:ilvl w:val="0"/>
                <w:numId w:val="22"/>
              </w:numPr>
              <w:ind w:firstLineChars="0"/>
              <w:jc w:val="both"/>
              <w:rPr>
                <w:rFonts w:ascii="Times New Roman" w:hAnsi="Times New Roman" w:cs="Times New Roman"/>
                <w:sz w:val="20"/>
                <w:szCs w:val="20"/>
              </w:rPr>
            </w:pPr>
            <w:r w:rsidRPr="00DC0412">
              <w:rPr>
                <w:rFonts w:ascii="Times New Roman" w:hAnsi="Times New Roman" w:cs="Times New Roman"/>
                <w:sz w:val="20"/>
                <w:szCs w:val="20"/>
                <w:shd w:val="clear" w:color="auto" w:fill="FFFFFF"/>
              </w:rPr>
              <w:t>Note-2: </w:t>
            </w:r>
            <w:r w:rsidRPr="00DC0412">
              <w:rPr>
                <w:rFonts w:ascii="Times New Roman" w:hAnsi="Times New Roman" w:cs="Times New Roman"/>
                <w:sz w:val="20"/>
                <w:szCs w:val="20"/>
              </w:rPr>
              <w:t xml:space="preserve">Simultaneous transmission of the UL of C-link and UL of backhaul link is subject to NCR’s </w:t>
            </w:r>
            <w:r w:rsidRPr="00DC0412">
              <w:rPr>
                <w:rFonts w:ascii="Times New Roman" w:hAnsi="Times New Roman" w:cs="Times New Roman"/>
                <w:sz w:val="20"/>
                <w:szCs w:val="20"/>
              </w:rPr>
              <w:lastRenderedPageBreak/>
              <w:t>capability</w:t>
            </w:r>
          </w:p>
        </w:tc>
      </w:tr>
    </w:tbl>
    <w:p w:rsidR="001F4F62" w:rsidRDefault="00EF0730" w:rsidP="00DC0412">
      <w:pPr>
        <w:pStyle w:val="BodyText"/>
        <w:tabs>
          <w:tab w:val="left" w:pos="1843"/>
        </w:tabs>
        <w:rPr>
          <w:rFonts w:eastAsiaTheme="minorEastAsia"/>
          <w:lang w:eastAsia="zh-CN"/>
        </w:rPr>
      </w:pPr>
      <w:r>
        <w:rPr>
          <w:rFonts w:eastAsiaTheme="minorEastAsia"/>
          <w:lang w:eastAsia="zh-CN"/>
        </w:rPr>
        <w:lastRenderedPageBreak/>
        <w:t xml:space="preserve"> </w:t>
      </w:r>
    </w:p>
    <w:p w:rsidR="005B32BA" w:rsidRDefault="005B32BA" w:rsidP="00DC0412">
      <w:pPr>
        <w:pStyle w:val="BodyText"/>
        <w:tabs>
          <w:tab w:val="left" w:pos="1843"/>
        </w:tabs>
        <w:rPr>
          <w:rFonts w:eastAsiaTheme="minorEastAsia"/>
          <w:lang w:eastAsia="zh-CN"/>
        </w:rPr>
      </w:pPr>
      <w:r>
        <w:rPr>
          <w:rFonts w:eastAsiaTheme="minorEastAsia"/>
          <w:lang w:eastAsia="zh-CN"/>
        </w:rPr>
        <w:t xml:space="preserve">Because NCR-Fwd is </w:t>
      </w:r>
      <w:r w:rsidR="00920009">
        <w:rPr>
          <w:rFonts w:eastAsiaTheme="minorEastAsia"/>
          <w:lang w:eastAsia="zh-CN"/>
        </w:rPr>
        <w:t xml:space="preserve">by definition </w:t>
      </w:r>
      <w:r>
        <w:rPr>
          <w:rFonts w:eastAsiaTheme="minorEastAsia"/>
          <w:lang w:eastAsia="zh-CN"/>
        </w:rPr>
        <w:t xml:space="preserve">an equipment running on RF signal, the alignments of DL receiving timing and UL transmitting timing of NCR-Fwd to those of NCR-MT are not performed in baseband but in RF. Further, this </w:t>
      </w:r>
      <w:r w:rsidR="00262CCC">
        <w:rPr>
          <w:rFonts w:eastAsiaTheme="minorEastAsia"/>
          <w:lang w:eastAsia="zh-CN"/>
        </w:rPr>
        <w:t xml:space="preserve">aligned </w:t>
      </w:r>
      <w:r>
        <w:rPr>
          <w:rFonts w:eastAsiaTheme="minorEastAsia"/>
          <w:lang w:eastAsia="zh-CN"/>
        </w:rPr>
        <w:t xml:space="preserve">UL transmitting timing of NCR-Fwd would in general not align to the frame/slot timing of the UL signals that are forwarded by NCR-Fwd on the uplink.  </w:t>
      </w:r>
      <w:r w:rsidR="006D71AF">
        <w:rPr>
          <w:rFonts w:eastAsiaTheme="minorEastAsia"/>
          <w:lang w:eastAsia="zh-CN"/>
        </w:rPr>
        <w:fldChar w:fldCharType="begin"/>
      </w:r>
      <w:r w:rsidR="00920009">
        <w:rPr>
          <w:rFonts w:eastAsiaTheme="minorEastAsia"/>
          <w:lang w:eastAsia="zh-CN"/>
        </w:rPr>
        <w:instrText xml:space="preserve"> REF _Ref110896486 \h </w:instrText>
      </w:r>
      <w:r w:rsidR="006D71AF">
        <w:rPr>
          <w:rFonts w:eastAsiaTheme="minorEastAsia"/>
          <w:lang w:eastAsia="zh-CN"/>
        </w:rPr>
      </w:r>
      <w:r w:rsidR="006D71AF">
        <w:rPr>
          <w:rFonts w:eastAsiaTheme="minorEastAsia"/>
          <w:lang w:eastAsia="zh-CN"/>
        </w:rPr>
        <w:fldChar w:fldCharType="separate"/>
      </w:r>
      <w:r w:rsidR="00920009">
        <w:t xml:space="preserve">Figure </w:t>
      </w:r>
      <w:r w:rsidR="00920009">
        <w:rPr>
          <w:noProof/>
        </w:rPr>
        <w:t>1</w:t>
      </w:r>
      <w:r w:rsidR="006D71AF">
        <w:rPr>
          <w:rFonts w:eastAsiaTheme="minorEastAsia"/>
          <w:lang w:eastAsia="zh-CN"/>
        </w:rPr>
        <w:fldChar w:fldCharType="end"/>
      </w:r>
      <w:r w:rsidR="00920009">
        <w:rPr>
          <w:rFonts w:eastAsiaTheme="minorEastAsia"/>
          <w:lang w:eastAsia="zh-CN"/>
        </w:rPr>
        <w:t xml:space="preserve"> shows the timing diagram being used to derive the timing difference </w:t>
      </w:r>
      <w:r w:rsidR="00861187">
        <w:rPr>
          <w:rFonts w:eastAsiaTheme="minorEastAsia"/>
          <w:lang w:eastAsia="zh-CN"/>
        </w:rPr>
        <w:t xml:space="preserve">between the two on baseband signal level, where </w:t>
      </w:r>
      <w:r>
        <w:rPr>
          <w:rFonts w:eastAsiaTheme="minorEastAsia"/>
          <w:lang w:eastAsia="zh-CN"/>
        </w:rPr>
        <w:t xml:space="preserve"> </w:t>
      </w:r>
    </w:p>
    <w:p w:rsidR="00D6755E" w:rsidRDefault="00861187" w:rsidP="00861187">
      <w:pPr>
        <w:pStyle w:val="ListParagraph"/>
        <w:numPr>
          <w:ilvl w:val="0"/>
          <w:numId w:val="23"/>
        </w:numPr>
        <w:ind w:firstLineChars="0"/>
        <w:rPr>
          <w:rFonts w:ascii="Times New Roman" w:eastAsiaTheme="minorEastAsia" w:hAnsi="Times New Roman" w:cs="Times New Roman"/>
          <w:sz w:val="20"/>
          <w:szCs w:val="20"/>
          <w:lang w:val="en-GB"/>
        </w:rPr>
      </w:pPr>
      <w:r w:rsidRPr="00861187">
        <w:rPr>
          <w:rFonts w:ascii="Times New Roman" w:eastAsiaTheme="minorEastAsia" w:hAnsi="Times New Roman" w:cs="Times New Roman"/>
          <w:sz w:val="20"/>
          <w:szCs w:val="20"/>
          <w:lang w:val="en-GB"/>
        </w:rPr>
        <w:t xml:space="preserve">Time error </w:t>
      </w:r>
      <w:r w:rsidRPr="00861187">
        <w:rPr>
          <w:rFonts w:ascii="Times New Roman" w:eastAsiaTheme="minorEastAsia" w:hAnsi="Times New Roman" w:cs="Times New Roman"/>
          <w:i/>
          <w:sz w:val="20"/>
          <w:szCs w:val="20"/>
          <w:lang w:val="en-GB"/>
        </w:rPr>
        <w:t>e</w:t>
      </w:r>
      <w:r w:rsidRPr="00861187">
        <w:rPr>
          <w:rFonts w:ascii="Times New Roman" w:eastAsiaTheme="minorEastAsia" w:hAnsi="Times New Roman" w:cs="Times New Roman"/>
          <w:i/>
          <w:sz w:val="20"/>
          <w:szCs w:val="20"/>
          <w:vertAlign w:val="subscript"/>
          <w:lang w:val="en-GB"/>
        </w:rPr>
        <w:t>1</w:t>
      </w:r>
      <w:r>
        <w:rPr>
          <w:rFonts w:ascii="Times New Roman" w:eastAsiaTheme="minorEastAsia" w:hAnsi="Times New Roman" w:cs="Times New Roman"/>
          <w:sz w:val="20"/>
          <w:szCs w:val="20"/>
          <w:lang w:val="en-GB"/>
        </w:rPr>
        <w:t xml:space="preserve"> is generated in the RF timing alignment between NCR-Fwd UL transmitting and NCR-MT UL transmitting</w:t>
      </w:r>
      <w:r w:rsidR="00D6755E">
        <w:rPr>
          <w:rFonts w:ascii="Times New Roman" w:eastAsiaTheme="minorEastAsia" w:hAnsi="Times New Roman" w:cs="Times New Roman"/>
          <w:sz w:val="20"/>
          <w:szCs w:val="20"/>
          <w:lang w:val="en-GB"/>
        </w:rPr>
        <w:t>;</w:t>
      </w:r>
    </w:p>
    <w:p w:rsidR="008C4E31" w:rsidRDefault="00D6755E" w:rsidP="00861187">
      <w:pPr>
        <w:pStyle w:val="ListParagraph"/>
        <w:numPr>
          <w:ilvl w:val="0"/>
          <w:numId w:val="23"/>
        </w:numPr>
        <w:ind w:firstLineChars="0"/>
        <w:rPr>
          <w:rFonts w:ascii="Times New Roman" w:eastAsiaTheme="minorEastAsia" w:hAnsi="Times New Roman" w:cs="Times New Roman"/>
          <w:sz w:val="20"/>
          <w:szCs w:val="20"/>
          <w:lang w:val="en-GB"/>
        </w:rPr>
      </w:pPr>
      <w:r w:rsidRPr="00861187">
        <w:rPr>
          <w:rFonts w:ascii="Times New Roman" w:eastAsiaTheme="minorEastAsia" w:hAnsi="Times New Roman" w:cs="Times New Roman"/>
          <w:sz w:val="20"/>
          <w:szCs w:val="20"/>
          <w:lang w:val="en-GB"/>
        </w:rPr>
        <w:t xml:space="preserve">Time error </w:t>
      </w:r>
      <w:r w:rsidRPr="00861187">
        <w:rPr>
          <w:rFonts w:ascii="Times New Roman" w:eastAsiaTheme="minorEastAsia" w:hAnsi="Times New Roman" w:cs="Times New Roman"/>
          <w:i/>
          <w:sz w:val="20"/>
          <w:szCs w:val="20"/>
          <w:lang w:val="en-GB"/>
        </w:rPr>
        <w:t>e</w:t>
      </w:r>
      <w:r>
        <w:rPr>
          <w:rFonts w:ascii="Times New Roman" w:eastAsiaTheme="minorEastAsia" w:hAnsi="Times New Roman" w:cs="Times New Roman"/>
          <w:i/>
          <w:sz w:val="20"/>
          <w:szCs w:val="20"/>
          <w:vertAlign w:val="subscript"/>
          <w:lang w:val="en-GB"/>
        </w:rPr>
        <w:t>2</w:t>
      </w:r>
      <w:r>
        <w:rPr>
          <w:rFonts w:ascii="Times New Roman" w:eastAsiaTheme="minorEastAsia" w:hAnsi="Times New Roman" w:cs="Times New Roman"/>
          <w:sz w:val="20"/>
          <w:szCs w:val="20"/>
          <w:lang w:val="en-GB"/>
        </w:rPr>
        <w:t xml:space="preserve"> is the error in </w:t>
      </w:r>
      <w:r w:rsidR="008C4E31">
        <w:rPr>
          <w:rFonts w:ascii="Times New Roman" w:eastAsiaTheme="minorEastAsia" w:hAnsi="Times New Roman" w:cs="Times New Roman"/>
          <w:sz w:val="20"/>
          <w:szCs w:val="20"/>
          <w:lang w:val="en-GB"/>
        </w:rPr>
        <w:t xml:space="preserve">determination of NCR-MT UL transmitting timing in RF based on the same timing in baseband. This error is not necessarily the same as the internal delay between RF and baseband, since the NCR-MT can perform the internal delay compensation when determining the NCR-MT UL transmitting timing in RF. However, the error </w:t>
      </w:r>
      <w:r w:rsidR="008C4E31" w:rsidRPr="00861187">
        <w:rPr>
          <w:rFonts w:ascii="Times New Roman" w:eastAsiaTheme="minorEastAsia" w:hAnsi="Times New Roman" w:cs="Times New Roman"/>
          <w:i/>
          <w:sz w:val="20"/>
          <w:szCs w:val="20"/>
          <w:lang w:val="en-GB"/>
        </w:rPr>
        <w:t>e</w:t>
      </w:r>
      <w:r w:rsidR="008C4E31">
        <w:rPr>
          <w:rFonts w:ascii="Times New Roman" w:eastAsiaTheme="minorEastAsia" w:hAnsi="Times New Roman" w:cs="Times New Roman"/>
          <w:i/>
          <w:sz w:val="20"/>
          <w:szCs w:val="20"/>
          <w:vertAlign w:val="subscript"/>
          <w:lang w:val="en-GB"/>
        </w:rPr>
        <w:t>2</w:t>
      </w:r>
      <w:r w:rsidR="008C4E31">
        <w:rPr>
          <w:rFonts w:ascii="Times New Roman" w:eastAsiaTheme="minorEastAsia" w:hAnsi="Times New Roman" w:cs="Times New Roman"/>
          <w:sz w:val="20"/>
          <w:szCs w:val="20"/>
          <w:lang w:val="en-GB"/>
        </w:rPr>
        <w:t xml:space="preserve"> still exists given the compensation may not be perfect. </w:t>
      </w:r>
    </w:p>
    <w:p w:rsidR="00B14D2F" w:rsidRDefault="008C4E31" w:rsidP="00861187">
      <w:pPr>
        <w:pStyle w:val="ListParagraph"/>
        <w:numPr>
          <w:ilvl w:val="0"/>
          <w:numId w:val="23"/>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Time error </w:t>
      </w:r>
      <w:r w:rsidRPr="00861187">
        <w:rPr>
          <w:rFonts w:ascii="Times New Roman" w:eastAsiaTheme="minorEastAsia" w:hAnsi="Times New Roman" w:cs="Times New Roman"/>
          <w:i/>
          <w:sz w:val="20"/>
          <w:szCs w:val="20"/>
          <w:lang w:val="en-GB"/>
        </w:rPr>
        <w:t>e</w:t>
      </w:r>
      <w:r>
        <w:rPr>
          <w:rFonts w:ascii="Times New Roman" w:eastAsiaTheme="minorEastAsia" w:hAnsi="Times New Roman" w:cs="Times New Roman"/>
          <w:i/>
          <w:sz w:val="20"/>
          <w:szCs w:val="20"/>
          <w:vertAlign w:val="subscript"/>
          <w:lang w:val="en-GB"/>
        </w:rPr>
        <w:t>3</w:t>
      </w:r>
      <w:r>
        <w:rPr>
          <w:rFonts w:ascii="Times New Roman" w:eastAsiaTheme="minorEastAsia" w:hAnsi="Times New Roman" w:cs="Times New Roman"/>
          <w:sz w:val="20"/>
          <w:szCs w:val="20"/>
          <w:lang w:val="en-GB"/>
        </w:rPr>
        <w:t xml:space="preserve"> is the error at baseband level between UL </w:t>
      </w:r>
      <w:r w:rsidR="00B14D2F">
        <w:rPr>
          <w:rFonts w:ascii="Times New Roman" w:eastAsiaTheme="minorEastAsia" w:hAnsi="Times New Roman" w:cs="Times New Roman"/>
          <w:sz w:val="20"/>
          <w:szCs w:val="20"/>
          <w:lang w:val="en-GB"/>
        </w:rPr>
        <w:t>frame</w:t>
      </w:r>
      <w:r>
        <w:rPr>
          <w:rFonts w:ascii="Times New Roman" w:eastAsiaTheme="minorEastAsia" w:hAnsi="Times New Roman" w:cs="Times New Roman"/>
          <w:sz w:val="20"/>
          <w:szCs w:val="20"/>
          <w:lang w:val="en-GB"/>
        </w:rPr>
        <w:t xml:space="preserve"> timing </w:t>
      </w:r>
      <w:r w:rsidR="00B14D2F">
        <w:rPr>
          <w:rFonts w:ascii="Times New Roman" w:eastAsiaTheme="minorEastAsia" w:hAnsi="Times New Roman" w:cs="Times New Roman"/>
          <w:sz w:val="20"/>
          <w:szCs w:val="20"/>
          <w:lang w:val="en-GB"/>
        </w:rPr>
        <w:t xml:space="preserve">in the NCR-MT </w:t>
      </w:r>
      <w:r>
        <w:rPr>
          <w:rFonts w:ascii="Times New Roman" w:eastAsiaTheme="minorEastAsia" w:hAnsi="Times New Roman" w:cs="Times New Roman"/>
          <w:sz w:val="20"/>
          <w:szCs w:val="20"/>
          <w:lang w:val="en-GB"/>
        </w:rPr>
        <w:t xml:space="preserve">and UL frame timing </w:t>
      </w:r>
      <w:r w:rsidR="00B14D2F">
        <w:rPr>
          <w:rFonts w:ascii="Times New Roman" w:eastAsiaTheme="minorEastAsia" w:hAnsi="Times New Roman" w:cs="Times New Roman"/>
          <w:sz w:val="20"/>
          <w:szCs w:val="20"/>
          <w:lang w:val="en-GB"/>
        </w:rPr>
        <w:t xml:space="preserve">for a UE in the NCR-Fwd. These two timings would respectively run through C-link and backhaul link that experience the same channel delay and be controlled by the timing advance procedure at the gNB. Therefore, </w:t>
      </w:r>
      <w:r w:rsidR="00B14D2F" w:rsidRPr="00861187">
        <w:rPr>
          <w:rFonts w:ascii="Times New Roman" w:eastAsiaTheme="minorEastAsia" w:hAnsi="Times New Roman" w:cs="Times New Roman"/>
          <w:i/>
          <w:sz w:val="20"/>
          <w:szCs w:val="20"/>
          <w:lang w:val="en-GB"/>
        </w:rPr>
        <w:t>e</w:t>
      </w:r>
      <w:r w:rsidR="00B14D2F">
        <w:rPr>
          <w:rFonts w:ascii="Times New Roman" w:eastAsiaTheme="minorEastAsia" w:hAnsi="Times New Roman" w:cs="Times New Roman"/>
          <w:i/>
          <w:sz w:val="20"/>
          <w:szCs w:val="20"/>
          <w:vertAlign w:val="subscript"/>
          <w:lang w:val="en-GB"/>
        </w:rPr>
        <w:t>3</w:t>
      </w:r>
      <w:r w:rsidR="00B14D2F">
        <w:rPr>
          <w:rFonts w:ascii="Times New Roman" w:eastAsiaTheme="minorEastAsia" w:hAnsi="Times New Roman" w:cs="Times New Roman"/>
          <w:sz w:val="20"/>
          <w:szCs w:val="20"/>
          <w:lang w:val="en-GB"/>
        </w:rPr>
        <w:t xml:space="preserve"> equals to the possible timing difference between two UL-Rx at the TA loop in gNB, which is one TA step, i.e., 16*64T</w:t>
      </w:r>
      <w:r w:rsidR="00B14D2F">
        <w:rPr>
          <w:rFonts w:ascii="Times New Roman" w:eastAsiaTheme="minorEastAsia" w:hAnsi="Times New Roman" w:cs="Times New Roman"/>
          <w:sz w:val="20"/>
          <w:szCs w:val="20"/>
          <w:vertAlign w:val="subscript"/>
          <w:lang w:val="en-GB"/>
        </w:rPr>
        <w:t>c</w:t>
      </w:r>
      <w:r w:rsidR="004B51C7">
        <w:rPr>
          <w:rFonts w:ascii="Times New Roman" w:eastAsiaTheme="minorEastAsia" w:hAnsi="Times New Roman" w:cs="Times New Roman"/>
          <w:sz w:val="20"/>
          <w:szCs w:val="20"/>
          <w:lang w:val="en-GB"/>
        </w:rPr>
        <w:t>,</w:t>
      </w:r>
      <w:r w:rsidR="00B14D2F">
        <w:rPr>
          <w:rFonts w:ascii="Times New Roman" w:eastAsiaTheme="minorEastAsia" w:hAnsi="Times New Roman" w:cs="Times New Roman"/>
          <w:sz w:val="20"/>
          <w:szCs w:val="20"/>
          <w:lang w:val="en-GB"/>
        </w:rPr>
        <w:t xml:space="preserve"> </w:t>
      </w:r>
      <w:r w:rsidR="004B51C7">
        <w:rPr>
          <w:rFonts w:ascii="Times New Roman" w:eastAsiaTheme="minorEastAsia" w:hAnsi="Times New Roman" w:cs="Times New Roman"/>
          <w:sz w:val="20"/>
          <w:szCs w:val="20"/>
          <w:lang w:val="en-GB"/>
        </w:rPr>
        <w:t>if NCR-MT follows the existing TA procedure.</w:t>
      </w:r>
    </w:p>
    <w:p w:rsidR="00861187" w:rsidRPr="008C73AD" w:rsidRDefault="00B14D2F" w:rsidP="008C73AD">
      <w:pPr>
        <w:spacing w:before="120" w:after="120"/>
        <w:rPr>
          <w:rFonts w:eastAsiaTheme="minorEastAsia"/>
          <w:szCs w:val="20"/>
          <w:lang w:val="en-GB"/>
        </w:rPr>
      </w:pPr>
      <w:r>
        <w:rPr>
          <w:rFonts w:eastAsiaTheme="minorEastAsia"/>
          <w:szCs w:val="20"/>
          <w:lang w:val="en-GB"/>
        </w:rPr>
        <w:t>Because the generations of {</w:t>
      </w:r>
      <w:r w:rsidRPr="00861187">
        <w:rPr>
          <w:rFonts w:eastAsiaTheme="minorEastAsia"/>
          <w:i/>
          <w:lang w:eastAsia="zh-CN"/>
        </w:rPr>
        <w:t>e</w:t>
      </w:r>
      <w:r w:rsidRPr="00861187">
        <w:rPr>
          <w:rFonts w:eastAsiaTheme="minorEastAsia"/>
          <w:i/>
          <w:vertAlign w:val="subscript"/>
          <w:lang w:eastAsia="zh-CN"/>
        </w:rPr>
        <w:t>1</w:t>
      </w:r>
      <w:r>
        <w:rPr>
          <w:rFonts w:eastAsiaTheme="minorEastAsia"/>
          <w:i/>
          <w:lang w:eastAsia="zh-CN"/>
        </w:rPr>
        <w:t xml:space="preserve">, </w:t>
      </w:r>
      <w:r w:rsidRPr="00861187">
        <w:rPr>
          <w:rFonts w:eastAsiaTheme="minorEastAsia"/>
          <w:i/>
          <w:lang w:eastAsia="zh-CN"/>
        </w:rPr>
        <w:t>e</w:t>
      </w:r>
      <w:r w:rsidRPr="00861187">
        <w:rPr>
          <w:rFonts w:eastAsiaTheme="minorEastAsia"/>
          <w:i/>
          <w:vertAlign w:val="subscript"/>
          <w:lang w:eastAsia="zh-CN"/>
        </w:rPr>
        <w:t>2</w:t>
      </w:r>
      <w:r>
        <w:rPr>
          <w:rFonts w:eastAsiaTheme="minorEastAsia"/>
          <w:i/>
          <w:lang w:eastAsia="zh-CN"/>
        </w:rPr>
        <w:t xml:space="preserve">, </w:t>
      </w:r>
      <w:r w:rsidRPr="00861187">
        <w:rPr>
          <w:rFonts w:eastAsiaTheme="minorEastAsia"/>
          <w:i/>
          <w:lang w:eastAsia="zh-CN"/>
        </w:rPr>
        <w:t>e</w:t>
      </w:r>
      <w:r w:rsidRPr="00861187">
        <w:rPr>
          <w:rFonts w:eastAsiaTheme="minorEastAsia"/>
          <w:i/>
          <w:vertAlign w:val="subscript"/>
          <w:lang w:eastAsia="zh-CN"/>
        </w:rPr>
        <w:t>3</w:t>
      </w:r>
      <w:r>
        <w:rPr>
          <w:rFonts w:eastAsiaTheme="minorEastAsia"/>
          <w:szCs w:val="20"/>
          <w:lang w:val="en-GB"/>
        </w:rPr>
        <w:t>}</w:t>
      </w:r>
      <w:r w:rsidR="008C4E31" w:rsidRPr="00B14D2F">
        <w:rPr>
          <w:rFonts w:eastAsiaTheme="minorEastAsia"/>
          <w:szCs w:val="20"/>
          <w:lang w:val="en-GB"/>
        </w:rPr>
        <w:t xml:space="preserve"> </w:t>
      </w:r>
      <w:r>
        <w:rPr>
          <w:rFonts w:eastAsiaTheme="minorEastAsia"/>
          <w:szCs w:val="20"/>
          <w:lang w:val="en-GB"/>
        </w:rPr>
        <w:t xml:space="preserve">are independent from each other, the total time difference is </w:t>
      </w:r>
      <w:r w:rsidR="008C73AD" w:rsidRPr="00861187">
        <w:rPr>
          <w:rFonts w:eastAsiaTheme="minorEastAsia"/>
          <w:i/>
          <w:lang w:eastAsia="zh-CN"/>
        </w:rPr>
        <w:t>e</w:t>
      </w:r>
      <w:r w:rsidR="008C73AD" w:rsidRPr="00861187">
        <w:rPr>
          <w:rFonts w:eastAsiaTheme="minorEastAsia"/>
          <w:i/>
          <w:vertAlign w:val="subscript"/>
          <w:lang w:eastAsia="zh-CN"/>
        </w:rPr>
        <w:t>1</w:t>
      </w:r>
      <w:r w:rsidR="008C73AD" w:rsidRPr="00861187">
        <w:rPr>
          <w:rFonts w:eastAsiaTheme="minorEastAsia"/>
          <w:i/>
          <w:lang w:eastAsia="zh-CN"/>
        </w:rPr>
        <w:t>+e</w:t>
      </w:r>
      <w:r w:rsidR="008C73AD" w:rsidRPr="00861187">
        <w:rPr>
          <w:rFonts w:eastAsiaTheme="minorEastAsia"/>
          <w:i/>
          <w:vertAlign w:val="subscript"/>
          <w:lang w:eastAsia="zh-CN"/>
        </w:rPr>
        <w:t>2</w:t>
      </w:r>
      <w:r w:rsidR="008C73AD" w:rsidRPr="00861187">
        <w:rPr>
          <w:rFonts w:eastAsiaTheme="minorEastAsia"/>
          <w:i/>
          <w:lang w:eastAsia="zh-CN"/>
        </w:rPr>
        <w:t>+e</w:t>
      </w:r>
      <w:r w:rsidR="008C73AD" w:rsidRPr="00861187">
        <w:rPr>
          <w:rFonts w:eastAsiaTheme="minorEastAsia"/>
          <w:i/>
          <w:vertAlign w:val="subscript"/>
          <w:lang w:eastAsia="zh-CN"/>
        </w:rPr>
        <w:t>3</w:t>
      </w:r>
      <w:r w:rsidR="008C73AD">
        <w:rPr>
          <w:rFonts w:eastAsiaTheme="minorEastAsia"/>
          <w:szCs w:val="20"/>
          <w:lang w:val="en-GB"/>
        </w:rPr>
        <w:t>.</w:t>
      </w:r>
    </w:p>
    <w:p w:rsidR="00920009" w:rsidRDefault="00EA7924" w:rsidP="00920009">
      <w:pPr>
        <w:pStyle w:val="BodyText"/>
        <w:tabs>
          <w:tab w:val="left" w:pos="1843"/>
        </w:tabs>
        <w:jc w:val="center"/>
        <w:rPr>
          <w:rFonts w:eastAsiaTheme="minorEastAsia"/>
          <w:lang w:eastAsia="zh-CN"/>
        </w:rPr>
      </w:pPr>
      <w:r>
        <w:object w:dxaOrig="4942" w:dyaOrig="3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94.7pt" o:ole="">
            <v:imagedata r:id="rId9" o:title=""/>
          </v:shape>
          <o:OLEObject Type="Embed" ProgID="Visio.Drawing.11" ShapeID="_x0000_i1025" DrawAspect="Content" ObjectID="_1721684948" r:id="rId10"/>
        </w:object>
      </w:r>
    </w:p>
    <w:p w:rsidR="00DC0412" w:rsidRDefault="00920009" w:rsidP="00920009">
      <w:pPr>
        <w:pStyle w:val="Caption"/>
        <w:jc w:val="center"/>
      </w:pPr>
      <w:bookmarkStart w:id="2" w:name="_Ref110896486"/>
      <w:r>
        <w:t xml:space="preserve">Figure </w:t>
      </w:r>
      <w:fldSimple w:instr=" SEQ Figure \* ARABIC ">
        <w:r w:rsidR="00D27686">
          <w:rPr>
            <w:noProof/>
          </w:rPr>
          <w:t>1</w:t>
        </w:r>
      </w:fldSimple>
      <w:bookmarkEnd w:id="2"/>
      <w:r w:rsidR="00861187">
        <w:t xml:space="preserve"> Diagram of timing difference between UL transmitting</w:t>
      </w:r>
      <w:r>
        <w:t xml:space="preserve"> timing and UL frame timing in NCR-Fwd baseband</w:t>
      </w:r>
    </w:p>
    <w:p w:rsidR="00404951" w:rsidRPr="00404951" w:rsidRDefault="00404951" w:rsidP="00404951">
      <w:pPr>
        <w:spacing w:before="120" w:after="120"/>
        <w:rPr>
          <w:b/>
          <w:i/>
          <w:lang w:val="en-GB"/>
        </w:rPr>
      </w:pPr>
      <w:r w:rsidRPr="00404951">
        <w:rPr>
          <w:b/>
          <w:i/>
          <w:lang w:val="en-GB"/>
        </w:rPr>
        <w:t>Observation 1: If the NCR-Fwd UL transmitt</w:t>
      </w:r>
      <w:r>
        <w:rPr>
          <w:b/>
          <w:i/>
          <w:lang w:val="en-GB"/>
        </w:rPr>
        <w:t>ing timing in RF is used for a NCR-Fwd functionality, such as uplink power amplifying</w:t>
      </w:r>
      <w:r w:rsidRPr="00404951">
        <w:rPr>
          <w:b/>
          <w:i/>
          <w:lang w:val="en-GB"/>
        </w:rPr>
        <w:t xml:space="preserve">, backhaul-C-link multiplexing and </w:t>
      </w:r>
      <w:r>
        <w:rPr>
          <w:b/>
          <w:i/>
          <w:lang w:val="en-GB"/>
        </w:rPr>
        <w:t>access link On-Off control, the functionality</w:t>
      </w:r>
      <w:r w:rsidRPr="00404951">
        <w:rPr>
          <w:b/>
          <w:i/>
          <w:lang w:val="en-GB"/>
        </w:rPr>
        <w:t xml:space="preserve"> very likely do</w:t>
      </w:r>
      <w:r>
        <w:rPr>
          <w:b/>
          <w:i/>
          <w:lang w:val="en-GB"/>
        </w:rPr>
        <w:t>es</w:t>
      </w:r>
      <w:r w:rsidRPr="00404951">
        <w:rPr>
          <w:b/>
          <w:i/>
          <w:lang w:val="en-GB"/>
        </w:rPr>
        <w:t xml:space="preserve"> not align with the UL frame timing in baseband of the UL signal forwarded through NCR-Fwd. </w:t>
      </w:r>
    </w:p>
    <w:p w:rsidR="008B26B7" w:rsidRPr="008B26B7" w:rsidRDefault="00150189" w:rsidP="00150189">
      <w:pPr>
        <w:pStyle w:val="ListParagraph"/>
        <w:numPr>
          <w:ilvl w:val="0"/>
          <w:numId w:val="24"/>
        </w:numPr>
        <w:ind w:firstLineChars="0"/>
        <w:rPr>
          <w:rFonts w:ascii="Times New Roman" w:hAnsi="Times New Roman" w:cs="Times New Roman"/>
          <w:b/>
          <w:i/>
          <w:sz w:val="20"/>
          <w:szCs w:val="20"/>
          <w:lang w:val="en-GB"/>
        </w:rPr>
      </w:pPr>
      <w:r w:rsidRPr="00150189">
        <w:rPr>
          <w:rFonts w:ascii="Times New Roman" w:hAnsi="Times New Roman" w:cs="Times New Roman"/>
          <w:b/>
          <w:i/>
          <w:sz w:val="20"/>
          <w:szCs w:val="20"/>
          <w:lang w:val="en-GB"/>
        </w:rPr>
        <w:t xml:space="preserve">The misalignment timing error is </w:t>
      </w:r>
      <w:r w:rsidRPr="00150189">
        <w:rPr>
          <w:rFonts w:ascii="Times New Roman" w:eastAsiaTheme="minorEastAsia" w:hAnsi="Times New Roman" w:cs="Times New Roman"/>
          <w:b/>
          <w:i/>
          <w:sz w:val="20"/>
          <w:szCs w:val="20"/>
          <w:lang w:val="en-GB"/>
        </w:rPr>
        <w:t>16*64T</w:t>
      </w:r>
      <w:r w:rsidRPr="00150189">
        <w:rPr>
          <w:rFonts w:ascii="Times New Roman" w:eastAsiaTheme="minorEastAsia" w:hAnsi="Times New Roman" w:cs="Times New Roman"/>
          <w:b/>
          <w:i/>
          <w:sz w:val="20"/>
          <w:szCs w:val="20"/>
          <w:vertAlign w:val="subscript"/>
          <w:lang w:val="en-GB"/>
        </w:rPr>
        <w:t xml:space="preserve">c </w:t>
      </w:r>
      <w:r w:rsidR="008B26B7">
        <w:rPr>
          <w:rFonts w:ascii="Times New Roman" w:eastAsiaTheme="minorEastAsia" w:hAnsi="Times New Roman" w:cs="Times New Roman"/>
          <w:b/>
          <w:i/>
          <w:sz w:val="20"/>
          <w:szCs w:val="20"/>
          <w:vertAlign w:val="subscript"/>
          <w:lang w:val="en-GB"/>
        </w:rPr>
        <w:t xml:space="preserve"> </w:t>
      </w:r>
      <w:r w:rsidRPr="00150189">
        <w:rPr>
          <w:rFonts w:ascii="Times New Roman" w:hAnsi="Times New Roman" w:cs="Times New Roman"/>
          <w:b/>
          <w:i/>
          <w:sz w:val="20"/>
          <w:szCs w:val="20"/>
          <w:lang w:val="en-GB"/>
        </w:rPr>
        <w:t xml:space="preserve">plus the timing error of alignment between NCR-Fwd RF and NCR-MT RF and the timing error due to NCR-MT internal baseband-to-RF delay. </w:t>
      </w:r>
    </w:p>
    <w:p w:rsidR="00150189" w:rsidRPr="008B26B7" w:rsidRDefault="008B26B7" w:rsidP="008B26B7">
      <w:pPr>
        <w:spacing w:before="120" w:after="120"/>
        <w:rPr>
          <w:b/>
          <w:i/>
          <w:szCs w:val="20"/>
          <w:lang w:val="en-GB"/>
        </w:rPr>
      </w:pPr>
      <w:r>
        <w:rPr>
          <w:szCs w:val="20"/>
          <w:lang w:val="en-GB"/>
        </w:rPr>
        <w:t xml:space="preserve">The further evaluation of </w:t>
      </w:r>
      <w:r w:rsidR="00F23047" w:rsidRPr="00861187">
        <w:rPr>
          <w:rFonts w:eastAsiaTheme="minorEastAsia"/>
          <w:i/>
          <w:lang w:eastAsia="zh-CN"/>
        </w:rPr>
        <w:t>e</w:t>
      </w:r>
      <w:r w:rsidR="00F23047" w:rsidRPr="00861187">
        <w:rPr>
          <w:rFonts w:eastAsiaTheme="minorEastAsia"/>
          <w:i/>
          <w:vertAlign w:val="subscript"/>
          <w:lang w:eastAsia="zh-CN"/>
        </w:rPr>
        <w:t>1</w:t>
      </w:r>
      <w:r w:rsidR="00F23047" w:rsidRPr="00861187">
        <w:rPr>
          <w:rFonts w:eastAsiaTheme="minorEastAsia"/>
          <w:i/>
          <w:lang w:eastAsia="zh-CN"/>
        </w:rPr>
        <w:t>+e</w:t>
      </w:r>
      <w:r w:rsidR="00F23047" w:rsidRPr="00861187">
        <w:rPr>
          <w:rFonts w:eastAsiaTheme="minorEastAsia"/>
          <w:i/>
          <w:vertAlign w:val="subscript"/>
          <w:lang w:eastAsia="zh-CN"/>
        </w:rPr>
        <w:t>2</w:t>
      </w:r>
      <w:r w:rsidR="00F23047" w:rsidRPr="00861187">
        <w:rPr>
          <w:rFonts w:eastAsiaTheme="minorEastAsia"/>
          <w:i/>
          <w:lang w:eastAsia="zh-CN"/>
        </w:rPr>
        <w:t>+e</w:t>
      </w:r>
      <w:r w:rsidR="00F23047" w:rsidRPr="00861187">
        <w:rPr>
          <w:rFonts w:eastAsiaTheme="minorEastAsia"/>
          <w:i/>
          <w:vertAlign w:val="subscript"/>
          <w:lang w:eastAsia="zh-CN"/>
        </w:rPr>
        <w:t>3</w:t>
      </w:r>
      <w:r w:rsidR="00F23047">
        <w:rPr>
          <w:rFonts w:eastAsiaTheme="minorEastAsia"/>
          <w:i/>
          <w:vertAlign w:val="subscript"/>
          <w:lang w:eastAsia="zh-CN"/>
        </w:rPr>
        <w:t xml:space="preserve"> </w:t>
      </w:r>
      <w:r>
        <w:rPr>
          <w:szCs w:val="20"/>
          <w:lang w:val="en-GB"/>
        </w:rPr>
        <w:t>may need RAN4 knowledge</w:t>
      </w:r>
      <w:r w:rsidR="00F23047">
        <w:rPr>
          <w:szCs w:val="20"/>
          <w:lang w:val="en-GB"/>
        </w:rPr>
        <w:t xml:space="preserve"> </w:t>
      </w:r>
      <w:r w:rsidR="00912B12">
        <w:rPr>
          <w:szCs w:val="20"/>
          <w:lang w:val="en-GB"/>
        </w:rPr>
        <w:t xml:space="preserve">or assumptions </w:t>
      </w:r>
      <w:r w:rsidR="00F23047">
        <w:rPr>
          <w:szCs w:val="20"/>
          <w:lang w:val="en-GB"/>
        </w:rPr>
        <w:t xml:space="preserve">on </w:t>
      </w:r>
      <w:r w:rsidR="00F23047" w:rsidRPr="00861187">
        <w:rPr>
          <w:rFonts w:eastAsiaTheme="minorEastAsia"/>
          <w:i/>
          <w:lang w:eastAsia="zh-CN"/>
        </w:rPr>
        <w:t>e</w:t>
      </w:r>
      <w:r w:rsidR="00F23047" w:rsidRPr="00861187">
        <w:rPr>
          <w:rFonts w:eastAsiaTheme="minorEastAsia"/>
          <w:i/>
          <w:vertAlign w:val="subscript"/>
          <w:lang w:eastAsia="zh-CN"/>
        </w:rPr>
        <w:t>1</w:t>
      </w:r>
      <w:r w:rsidR="00F23047">
        <w:rPr>
          <w:rFonts w:eastAsiaTheme="minorEastAsia"/>
          <w:i/>
          <w:vertAlign w:val="subscript"/>
          <w:lang w:eastAsia="zh-CN"/>
        </w:rPr>
        <w:t xml:space="preserve"> </w:t>
      </w:r>
      <w:r w:rsidR="00F23047">
        <w:rPr>
          <w:szCs w:val="20"/>
          <w:lang w:val="en-GB"/>
        </w:rPr>
        <w:t xml:space="preserve">and </w:t>
      </w:r>
      <w:r w:rsidR="00F23047" w:rsidRPr="00861187">
        <w:rPr>
          <w:rFonts w:eastAsiaTheme="minorEastAsia"/>
          <w:i/>
          <w:lang w:eastAsia="zh-CN"/>
        </w:rPr>
        <w:t>e</w:t>
      </w:r>
      <w:r w:rsidR="00F23047" w:rsidRPr="00861187">
        <w:rPr>
          <w:rFonts w:eastAsiaTheme="minorEastAsia"/>
          <w:i/>
          <w:vertAlign w:val="subscript"/>
          <w:lang w:eastAsia="zh-CN"/>
        </w:rPr>
        <w:t>2</w:t>
      </w:r>
      <w:r>
        <w:rPr>
          <w:szCs w:val="20"/>
          <w:lang w:val="en-GB"/>
        </w:rPr>
        <w:t xml:space="preserve">. </w:t>
      </w:r>
      <w:r w:rsidR="00150189" w:rsidRPr="008B26B7">
        <w:rPr>
          <w:b/>
          <w:i/>
          <w:szCs w:val="20"/>
          <w:lang w:val="en-GB"/>
        </w:rPr>
        <w:t xml:space="preserve"> </w:t>
      </w:r>
    </w:p>
    <w:p w:rsidR="00DC0412" w:rsidRDefault="00DC0412" w:rsidP="00DC0412">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Power control on NCR-Fwd</w:t>
      </w:r>
    </w:p>
    <w:p w:rsidR="00EF0730" w:rsidRPr="00EF0730" w:rsidRDefault="00EF0730" w:rsidP="009E0195">
      <w:r w:rsidRPr="00EF0730">
        <w:t>RAN1 #109e</w:t>
      </w:r>
      <w:r w:rsidR="006222E5">
        <w:t xml:space="preserve"> reached the following agreement for power control of NCR-Fwd</w:t>
      </w:r>
      <w:r w:rsidRPr="00EF0730">
        <w:t xml:space="preserve">. </w:t>
      </w:r>
    </w:p>
    <w:tbl>
      <w:tblPr>
        <w:tblStyle w:val="TableGrid"/>
        <w:tblW w:w="0" w:type="auto"/>
        <w:tblLook w:val="04A0"/>
      </w:tblPr>
      <w:tblGrid>
        <w:gridCol w:w="9288"/>
      </w:tblGrid>
      <w:tr w:rsidR="00EF0730" w:rsidTr="00EF0730">
        <w:tc>
          <w:tcPr>
            <w:tcW w:w="9288" w:type="dxa"/>
          </w:tcPr>
          <w:p w:rsidR="008509C0" w:rsidRPr="008509C0" w:rsidRDefault="008509C0" w:rsidP="008509C0">
            <w:pPr>
              <w:pStyle w:val="NormalWeb"/>
              <w:shd w:val="clear" w:color="auto" w:fill="FFFFFF"/>
              <w:spacing w:before="0" w:beforeAutospacing="0" w:after="0" w:afterAutospacing="0"/>
              <w:outlineLvl w:val="0"/>
              <w:rPr>
                <w:rStyle w:val="Emphasis"/>
                <w:rFonts w:ascii="Times New Roman" w:hAnsi="Times New Roman" w:cs="Times New Roman"/>
                <w:b/>
                <w:bCs/>
                <w:i w:val="0"/>
                <w:sz w:val="20"/>
                <w:szCs w:val="20"/>
                <w:highlight w:val="green"/>
                <w:shd w:val="clear" w:color="auto" w:fill="FFFF00"/>
              </w:rPr>
            </w:pPr>
            <w:r w:rsidRPr="008509C0">
              <w:rPr>
                <w:rStyle w:val="Emphasis"/>
                <w:rFonts w:ascii="Times New Roman" w:hAnsi="Times New Roman" w:cs="Times New Roman"/>
                <w:b/>
                <w:bCs/>
                <w:i w:val="0"/>
                <w:sz w:val="20"/>
                <w:szCs w:val="20"/>
                <w:highlight w:val="green"/>
              </w:rPr>
              <w:t>Agreement</w:t>
            </w:r>
          </w:p>
          <w:p w:rsidR="008509C0" w:rsidRPr="008509C0" w:rsidRDefault="008509C0" w:rsidP="008509C0">
            <w:pPr>
              <w:pStyle w:val="NormalWeb"/>
              <w:spacing w:before="0" w:beforeAutospacing="0" w:after="0" w:afterAutospacing="0"/>
              <w:rPr>
                <w:rFonts w:ascii="Times New Roman" w:eastAsia="Malgun Gothic" w:hAnsi="Times New Roman" w:cs="Times New Roman"/>
                <w:sz w:val="20"/>
                <w:szCs w:val="20"/>
                <w:lang w:eastAsia="ko-KR"/>
              </w:rPr>
            </w:pPr>
            <w:r w:rsidRPr="008509C0">
              <w:rPr>
                <w:rFonts w:ascii="Times New Roman" w:hAnsi="Times New Roman" w:cs="Times New Roman"/>
                <w:sz w:val="20"/>
                <w:szCs w:val="20"/>
              </w:rPr>
              <w:t>Recommend to capture the following observation in TR 38.867:</w:t>
            </w:r>
          </w:p>
          <w:p w:rsidR="008509C0" w:rsidRPr="008509C0" w:rsidRDefault="008509C0" w:rsidP="008509C0">
            <w:pPr>
              <w:pStyle w:val="ListParagraph"/>
              <w:numPr>
                <w:ilvl w:val="0"/>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shd w:val="clear" w:color="auto" w:fill="FFFFFF"/>
              </w:rPr>
              <w:t>The benefits of power information used to control the behavior of NCR-Fwd for the DL of access link and/or UL of backhaul link are observed by the following inputs</w:t>
            </w:r>
            <w:r w:rsidRPr="008509C0">
              <w:rPr>
                <w:rFonts w:ascii="Times New Roman" w:hAnsi="Times New Roman" w:cs="Times New Roman"/>
                <w:sz w:val="20"/>
                <w:szCs w:val="20"/>
              </w:rPr>
              <w:t>:</w:t>
            </w:r>
          </w:p>
          <w:p w:rsidR="008509C0" w:rsidRPr="008509C0" w:rsidRDefault="008509C0" w:rsidP="008509C0">
            <w:pPr>
              <w:pStyle w:val="ListParagraph"/>
              <w:numPr>
                <w:ilvl w:val="1"/>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rsidR="008509C0" w:rsidRPr="008509C0" w:rsidRDefault="008509C0" w:rsidP="008509C0">
            <w:pPr>
              <w:pStyle w:val="ListParagraph"/>
              <w:numPr>
                <w:ilvl w:val="1"/>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rPr>
              <w:t>[Source-2, vivo] shows that the optimal system performance can be achieved when repeater’s gain is set to a proper value.</w:t>
            </w:r>
          </w:p>
          <w:p w:rsidR="008509C0" w:rsidRPr="008509C0" w:rsidRDefault="008509C0" w:rsidP="008509C0">
            <w:pPr>
              <w:pStyle w:val="ListParagraph"/>
              <w:numPr>
                <w:ilvl w:val="1"/>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rPr>
              <w:lastRenderedPageBreak/>
              <w:t>[Source-3, ETRI] shows that dynamic repeater gain/power control can provide additional SINR gain over semi-static repeater gain/power configuration.</w:t>
            </w:r>
          </w:p>
          <w:p w:rsidR="008509C0" w:rsidRPr="008509C0" w:rsidRDefault="008509C0" w:rsidP="008509C0">
            <w:pPr>
              <w:pStyle w:val="ListParagraph"/>
              <w:numPr>
                <w:ilvl w:val="1"/>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rPr>
              <w:t>[Source-4, Ericsson] mentions that the gain control is needed for self-interference management due to repeater oscillation.</w:t>
            </w:r>
          </w:p>
          <w:p w:rsidR="008509C0" w:rsidRPr="008509C0" w:rsidRDefault="008509C0" w:rsidP="008509C0">
            <w:pPr>
              <w:pStyle w:val="ListParagraph"/>
              <w:numPr>
                <w:ilvl w:val="0"/>
                <w:numId w:val="25"/>
              </w:numPr>
              <w:ind w:firstLineChars="0"/>
              <w:jc w:val="both"/>
              <w:rPr>
                <w:rFonts w:ascii="Times New Roman" w:hAnsi="Times New Roman" w:cs="Times New Roman"/>
                <w:sz w:val="20"/>
                <w:szCs w:val="20"/>
              </w:rPr>
            </w:pPr>
            <w:r w:rsidRPr="008509C0">
              <w:rPr>
                <w:rFonts w:ascii="Times New Roman" w:hAnsi="Times New Roman" w:cs="Times New Roman"/>
                <w:sz w:val="20"/>
                <w:szCs w:val="20"/>
              </w:rPr>
              <w:t>This agreement does not change the prioritization of PC</w:t>
            </w:r>
          </w:p>
          <w:p w:rsidR="008509C0" w:rsidRDefault="008509C0" w:rsidP="00EF0730">
            <w:pPr>
              <w:rPr>
                <w:rStyle w:val="Emphasis"/>
                <w:b/>
                <w:bCs/>
                <w:i w:val="0"/>
                <w:szCs w:val="20"/>
                <w:highlight w:val="green"/>
              </w:rPr>
            </w:pPr>
          </w:p>
          <w:p w:rsidR="00EF0730" w:rsidRPr="00674D58" w:rsidRDefault="00EF0730" w:rsidP="00EF0730">
            <w:pPr>
              <w:rPr>
                <w:rStyle w:val="Emphasis"/>
                <w:b/>
                <w:bCs/>
                <w:i w:val="0"/>
                <w:szCs w:val="20"/>
                <w:highlight w:val="green"/>
                <w:shd w:val="clear" w:color="auto" w:fill="FFFF00"/>
              </w:rPr>
            </w:pPr>
            <w:r w:rsidRPr="00674D58">
              <w:rPr>
                <w:rStyle w:val="Emphasis"/>
                <w:b/>
                <w:bCs/>
                <w:i w:val="0"/>
                <w:szCs w:val="20"/>
                <w:highlight w:val="green"/>
              </w:rPr>
              <w:t>Agreement</w:t>
            </w:r>
          </w:p>
          <w:p w:rsidR="00EF0730" w:rsidRPr="00674D58" w:rsidRDefault="00EF0730" w:rsidP="00EF0730">
            <w:pPr>
              <w:pStyle w:val="NormalWeb"/>
              <w:spacing w:before="0" w:beforeAutospacing="0" w:after="0" w:afterAutospacing="0"/>
              <w:rPr>
                <w:rFonts w:ascii="Times New Roman" w:hAnsi="Times New Roman" w:cs="Times New Roman"/>
                <w:sz w:val="20"/>
                <w:szCs w:val="20"/>
              </w:rPr>
            </w:pPr>
            <w:r w:rsidRPr="00674D58">
              <w:rPr>
                <w:rFonts w:ascii="Times New Roman" w:hAnsi="Times New Roman" w:cs="Times New Roman"/>
                <w:sz w:val="20"/>
                <w:szCs w:val="20"/>
              </w:rPr>
              <w:t>The controlling of the amplifying gain of NCR-Fwd is considered to enable the power control of NCR-Fwd if PC is recommended as side control information for NCR in Rel-18</w:t>
            </w:r>
          </w:p>
          <w:p w:rsidR="00EF0730" w:rsidRPr="00EF0730" w:rsidRDefault="00EF0730" w:rsidP="00EF0730">
            <w:pPr>
              <w:pStyle w:val="ListParagraph"/>
              <w:numPr>
                <w:ilvl w:val="0"/>
                <w:numId w:val="22"/>
              </w:numPr>
              <w:ind w:firstLineChars="0"/>
              <w:jc w:val="both"/>
              <w:rPr>
                <w:rFonts w:ascii="Times New Roman" w:hAnsi="Times New Roman" w:cs="Times New Roman"/>
                <w:sz w:val="20"/>
                <w:szCs w:val="20"/>
              </w:rPr>
            </w:pPr>
            <w:r w:rsidRPr="00674D58">
              <w:rPr>
                <w:rFonts w:ascii="Times New Roman" w:hAnsi="Times New Roman" w:cs="Times New Roman"/>
                <w:sz w:val="20"/>
                <w:szCs w:val="20"/>
              </w:rPr>
              <w:t>FFS: Controlling of the transmission power of NCR-Fwd</w:t>
            </w:r>
          </w:p>
        </w:tc>
      </w:tr>
    </w:tbl>
    <w:p w:rsidR="00EF0730" w:rsidRDefault="00EF0730" w:rsidP="00EF0730">
      <w:pPr>
        <w:pStyle w:val="BodyText"/>
        <w:rPr>
          <w:lang w:eastAsia="zh-CN"/>
        </w:rPr>
      </w:pPr>
    </w:p>
    <w:p w:rsidR="00C56D53" w:rsidRDefault="005A18A9" w:rsidP="00EF0730">
      <w:pPr>
        <w:pStyle w:val="BodyText"/>
        <w:rPr>
          <w:lang w:eastAsia="zh-CN"/>
        </w:rPr>
      </w:pPr>
      <w:r>
        <w:rPr>
          <w:lang w:eastAsia="zh-CN"/>
        </w:rPr>
        <w:t xml:space="preserve">For a UE in NCR coverage and in CONNECTION mode, its uplink Tx power follows the </w:t>
      </w:r>
      <w:r w:rsidR="00C56D53">
        <w:rPr>
          <w:lang w:eastAsia="zh-CN"/>
        </w:rPr>
        <w:t>principle as following</w:t>
      </w:r>
      <w:r>
        <w:rPr>
          <w:lang w:eastAsia="zh-CN"/>
        </w:rPr>
        <w:t>:</w:t>
      </w:r>
    </w:p>
    <w:p w:rsidR="005A18A9" w:rsidRDefault="006D71AF" w:rsidP="00C56D53">
      <w:pPr>
        <w:pStyle w:val="BodyText"/>
        <w:jc w:val="center"/>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+α∙PL+</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TPC</m:t>
                  </m:r>
                </m:sub>
              </m:sSub>
            </m:e>
          </m:d>
        </m:oMath>
      </m:oMathPara>
    </w:p>
    <w:p w:rsidR="002607FB" w:rsidRDefault="00C56D53" w:rsidP="00C56D53">
      <w:pPr>
        <w:pStyle w:val="BodyText"/>
        <w:jc w:val="left"/>
        <w:rPr>
          <w:lang w:eastAsia="zh-CN"/>
        </w:rPr>
      </w:pPr>
      <w:r>
        <w:rPr>
          <w:lang w:eastAsia="zh-CN"/>
        </w:rPr>
        <w:t>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w:t>
      </w:r>
      <m:oMath>
        <m:r>
          <w:rPr>
            <w:rFonts w:ascii="Cambria Math" w:hAnsi="Cambria Math"/>
            <w:lang w:eastAsia="zh-CN"/>
          </w:rPr>
          <m:t>α</m:t>
        </m:r>
      </m:oMath>
      <w:r>
        <w:rPr>
          <w:lang w:eastAsia="zh-CN"/>
        </w:rPr>
        <w:t>} are parameters derived from semi-static parameters</w:t>
      </w:r>
      <w:r w:rsidR="00AD37DB">
        <w:rPr>
          <w:lang w:eastAsia="zh-CN"/>
        </w:rPr>
        <w:t>/procedures</w:t>
      </w:r>
      <w:r w:rsidR="00F32BB0">
        <w:rPr>
          <w:lang w:eastAsia="zh-CN"/>
        </w:rPr>
        <w:t xml:space="preserve"> or dynamically selectable from very limited number of configured candidate values under a specific UE capability</w:t>
      </w:r>
      <w:r>
        <w:rPr>
          <w:lang w:eastAsia="zh-CN"/>
        </w:rPr>
        <w:t xml:space="preserve">, </w:t>
      </w:r>
      <w:r w:rsidRPr="00C56D53">
        <w:rPr>
          <w:i/>
          <w:lang w:eastAsia="zh-CN"/>
        </w:rPr>
        <w:t>PL</w:t>
      </w:r>
      <w:r>
        <w:rPr>
          <w:lang w:eastAsia="zh-CN"/>
        </w:rPr>
        <w:t xml:space="preserve"> is the DL pathloss</w:t>
      </w:r>
      <w:r w:rsidR="00227FE5">
        <w:rPr>
          <w:lang w:eastAsia="zh-CN"/>
        </w:rPr>
        <w:t xml:space="preserve"> estimated </w:t>
      </w:r>
      <w:r w:rsidR="00722B76">
        <w:rPr>
          <w:lang w:eastAsia="zh-CN"/>
        </w:rPr>
        <w:t>from</w:t>
      </w:r>
      <w:r w:rsidR="00227FE5">
        <w:rPr>
          <w:lang w:eastAsia="zh-CN"/>
        </w:rPr>
        <w:t xml:space="preserve"> </w:t>
      </w:r>
      <w:r w:rsidR="00722B76">
        <w:rPr>
          <w:lang w:eastAsia="zh-CN"/>
        </w:rPr>
        <w:t xml:space="preserve">a given RS resource that is in general periodic,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TPC</m:t>
            </m:r>
          </m:sub>
        </m:sSub>
      </m:oMath>
      <w:r w:rsidR="00722B76">
        <w:rPr>
          <w:lang w:eastAsia="zh-CN"/>
        </w:rPr>
        <w:t xml:space="preserve"> is a term adjusted by close-loop TPC commands in MAC-CE. The change of amplifying gain of NCR-Fwd on DL effectively changes the estimated </w:t>
      </w:r>
      <w:r w:rsidR="00722B76" w:rsidRPr="00722B76">
        <w:rPr>
          <w:i/>
          <w:lang w:eastAsia="zh-CN"/>
        </w:rPr>
        <w:t>PL</w:t>
      </w:r>
      <w:r w:rsidR="00722B76">
        <w:rPr>
          <w:lang w:eastAsia="zh-CN"/>
        </w:rPr>
        <w:t xml:space="preserve"> and consequently the UE uplink Tx power. </w:t>
      </w:r>
      <w:r w:rsidR="00770189">
        <w:rPr>
          <w:lang w:eastAsia="zh-CN"/>
        </w:rPr>
        <w:t xml:space="preserve">If amplifying gain is changed dynamically, the corresponding impacts to </w:t>
      </w:r>
      <w:r w:rsidR="00770189" w:rsidRPr="00770189">
        <w:rPr>
          <w:i/>
          <w:lang w:eastAsia="zh-CN"/>
        </w:rPr>
        <w:t>PL</w:t>
      </w:r>
      <w:r w:rsidR="00770189">
        <w:rPr>
          <w:lang w:eastAsia="zh-CN"/>
        </w:rPr>
        <w:t xml:space="preserve"> could be different for different UEs served via NCR, since different UE may have different implementations for downlink pathloss estimation based on a periodic RS, e.g., due to different filtering techniques. So the single amplifying compensation on the NCR-Fwd uplink would not be enough – the gNB may still need to </w:t>
      </w:r>
      <w:r w:rsidR="003A6D51">
        <w:rPr>
          <w:lang w:eastAsia="zh-CN"/>
        </w:rPr>
        <w:t xml:space="preserve">send some TPC to the UEs, after finding out the Rx power levels at gNB for those UEs are not desirable.  Further, </w:t>
      </w:r>
      <w:r w:rsidR="00A51503">
        <w:rPr>
          <w:lang w:eastAsia="zh-CN"/>
        </w:rPr>
        <w:t xml:space="preserve">even without amplifying gain change in NCR-Fwd, </w:t>
      </w:r>
      <w:r w:rsidR="003A6D51">
        <w:rPr>
          <w:lang w:eastAsia="zh-CN"/>
        </w:rPr>
        <w:t>different UE</w:t>
      </w:r>
      <w:r w:rsidR="00A51503">
        <w:rPr>
          <w:lang w:eastAsia="zh-CN"/>
        </w:rPr>
        <w:t xml:space="preserve">’s may still see different UP and DOWN commands in the received TPC MAC-CEs, then the single dynamic amplifying applied to NCR-Fwd would inevitably make </w:t>
      </w:r>
      <w:r w:rsidR="002607FB">
        <w:rPr>
          <w:lang w:eastAsia="zh-CN"/>
        </w:rPr>
        <w:t>some</w:t>
      </w:r>
      <w:r w:rsidR="00A51503">
        <w:rPr>
          <w:lang w:eastAsia="zh-CN"/>
        </w:rPr>
        <w:t xml:space="preserve"> UE</w:t>
      </w:r>
      <w:r w:rsidR="002607FB">
        <w:rPr>
          <w:lang w:eastAsia="zh-CN"/>
        </w:rPr>
        <w:t>’s</w:t>
      </w:r>
      <w:r w:rsidR="00A51503">
        <w:rPr>
          <w:lang w:eastAsia="zh-CN"/>
        </w:rPr>
        <w:t xml:space="preserve"> Tx power either further i</w:t>
      </w:r>
      <w:r w:rsidR="002607FB">
        <w:rPr>
          <w:lang w:eastAsia="zh-CN"/>
        </w:rPr>
        <w:t>n excess or further in shortage, which requires more TPC commands to be delivered to the UE to somehow neutralize</w:t>
      </w:r>
      <w:r w:rsidR="00A979A2">
        <w:rPr>
          <w:lang w:eastAsia="zh-CN"/>
        </w:rPr>
        <w:t xml:space="preserve"> or even turn over</w:t>
      </w:r>
      <w:r w:rsidR="002607FB">
        <w:rPr>
          <w:lang w:eastAsia="zh-CN"/>
        </w:rPr>
        <w:t xml:space="preserve"> the effects of amplifying gain change.</w:t>
      </w:r>
      <w:r w:rsidR="006C7393">
        <w:rPr>
          <w:lang w:eastAsia="zh-CN"/>
        </w:rPr>
        <w:t xml:space="preserve">  </w:t>
      </w:r>
      <w:r w:rsidR="00687E8F">
        <w:rPr>
          <w:lang w:eastAsia="zh-CN"/>
        </w:rPr>
        <w:t xml:space="preserve">  </w:t>
      </w:r>
    </w:p>
    <w:p w:rsidR="00C56D53" w:rsidRPr="00EF0730" w:rsidRDefault="002607FB" w:rsidP="00C56D53">
      <w:pPr>
        <w:pStyle w:val="BodyText"/>
        <w:jc w:val="left"/>
        <w:rPr>
          <w:lang w:eastAsia="zh-CN"/>
        </w:rPr>
      </w:pPr>
      <w:r>
        <w:rPr>
          <w:lang w:eastAsia="zh-CN"/>
        </w:rPr>
        <w:t xml:space="preserve">For a UE in NCR coverage but not in CONNECTION mode (e.g., IDLE mode), </w:t>
      </w:r>
      <w:r w:rsidR="003D0398">
        <w:rPr>
          <w:lang w:eastAsia="zh-CN"/>
        </w:rPr>
        <w:t xml:space="preserve">the dynamic change of amplifying gain can create additional impacts to random access procedure of the UE, for example, </w:t>
      </w:r>
      <w:r w:rsidR="00AD37DB">
        <w:rPr>
          <w:lang w:eastAsia="zh-CN"/>
        </w:rPr>
        <w:t xml:space="preserve">the qualified Tx power level resulting from a successful random access </w:t>
      </w:r>
      <w:r w:rsidR="00A979A2">
        <w:rPr>
          <w:lang w:eastAsia="zh-CN"/>
        </w:rPr>
        <w:t>message</w:t>
      </w:r>
      <w:r w:rsidR="00AD37DB">
        <w:rPr>
          <w:lang w:eastAsia="zh-CN"/>
        </w:rPr>
        <w:t xml:space="preserve"> may suddenly become not large enough </w:t>
      </w:r>
      <w:r w:rsidR="00687E8F">
        <w:rPr>
          <w:lang w:eastAsia="zh-CN"/>
        </w:rPr>
        <w:t>for later communications</w:t>
      </w:r>
      <w:r w:rsidR="003D0398">
        <w:rPr>
          <w:lang w:eastAsia="zh-CN"/>
        </w:rPr>
        <w:t>.</w:t>
      </w:r>
      <w:r w:rsidR="00687E8F">
        <w:rPr>
          <w:lang w:eastAsia="zh-CN"/>
        </w:rPr>
        <w:t xml:space="preserve"> </w:t>
      </w:r>
      <w:r w:rsidR="003D0398">
        <w:rPr>
          <w:lang w:eastAsia="zh-CN"/>
        </w:rPr>
        <w:t xml:space="preserve">  </w:t>
      </w:r>
      <w:r>
        <w:rPr>
          <w:lang w:eastAsia="zh-CN"/>
        </w:rPr>
        <w:t xml:space="preserve">  </w:t>
      </w:r>
      <w:r w:rsidR="00A51503">
        <w:rPr>
          <w:lang w:eastAsia="zh-CN"/>
        </w:rPr>
        <w:t xml:space="preserve">  </w:t>
      </w:r>
      <w:r w:rsidR="00770189">
        <w:rPr>
          <w:lang w:eastAsia="zh-CN"/>
        </w:rPr>
        <w:t xml:space="preserve">     </w:t>
      </w:r>
      <w:r w:rsidR="00722B76">
        <w:rPr>
          <w:lang w:eastAsia="zh-CN"/>
        </w:rPr>
        <w:t xml:space="preserve">  </w:t>
      </w:r>
      <w:r w:rsidR="00C56D53">
        <w:rPr>
          <w:lang w:eastAsia="zh-CN"/>
        </w:rPr>
        <w:t xml:space="preserve">  </w:t>
      </w:r>
    </w:p>
    <w:p w:rsidR="00636D2F" w:rsidRPr="00636D2F" w:rsidRDefault="00687E8F" w:rsidP="00EF0730">
      <w:pPr>
        <w:pStyle w:val="BodyText"/>
        <w:rPr>
          <w:b/>
          <w:i/>
          <w:lang w:eastAsia="zh-CN"/>
        </w:rPr>
      </w:pPr>
      <w:r w:rsidRPr="00636D2F">
        <w:rPr>
          <w:b/>
          <w:i/>
          <w:lang w:eastAsia="zh-CN"/>
        </w:rPr>
        <w:t xml:space="preserve">Observation 2: The dynamic change of NCR-Fwd amplifying gain </w:t>
      </w:r>
      <w:r w:rsidR="006C7393" w:rsidRPr="00636D2F">
        <w:rPr>
          <w:b/>
          <w:i/>
          <w:lang w:eastAsia="zh-CN"/>
        </w:rPr>
        <w:t>may result in more TPC command</w:t>
      </w:r>
      <w:r w:rsidR="007C1EDB" w:rsidRPr="00636D2F">
        <w:rPr>
          <w:b/>
          <w:i/>
          <w:lang w:eastAsia="zh-CN"/>
        </w:rPr>
        <w:t>s</w:t>
      </w:r>
      <w:r w:rsidR="00404951">
        <w:rPr>
          <w:b/>
          <w:i/>
          <w:lang w:eastAsia="zh-CN"/>
        </w:rPr>
        <w:t xml:space="preserve"> for a UE</w:t>
      </w:r>
      <w:r w:rsidR="006C7393" w:rsidRPr="00636D2F">
        <w:rPr>
          <w:b/>
          <w:i/>
          <w:lang w:eastAsia="zh-CN"/>
        </w:rPr>
        <w:t>,</w:t>
      </w:r>
      <w:r w:rsidR="007C1EDB" w:rsidRPr="00636D2F">
        <w:rPr>
          <w:b/>
          <w:i/>
          <w:lang w:eastAsia="zh-CN"/>
        </w:rPr>
        <w:t xml:space="preserve"> and unexpected radio link failures after successful random access. </w:t>
      </w:r>
    </w:p>
    <w:p w:rsidR="00EF0730" w:rsidRPr="00636D2F" w:rsidRDefault="00636D2F" w:rsidP="00EF0730">
      <w:pPr>
        <w:pStyle w:val="BodyText"/>
        <w:rPr>
          <w:b/>
          <w:i/>
          <w:lang w:eastAsia="zh-CN"/>
        </w:rPr>
      </w:pPr>
      <w:r w:rsidRPr="00636D2F">
        <w:rPr>
          <w:b/>
          <w:i/>
          <w:lang w:eastAsia="zh-CN"/>
        </w:rPr>
        <w:t xml:space="preserve">Proposal 1: Rel-18 NCR does not further pursue dynamic change of NCR-Fwd amplifying gain. </w:t>
      </w:r>
      <w:r w:rsidR="006C7393" w:rsidRPr="00636D2F">
        <w:rPr>
          <w:b/>
          <w:i/>
          <w:lang w:eastAsia="zh-CN"/>
        </w:rPr>
        <w:t xml:space="preserve"> </w:t>
      </w:r>
    </w:p>
    <w:p w:rsidR="00EF0730" w:rsidRDefault="00EF0730" w:rsidP="00EF0730">
      <w:pPr>
        <w:pStyle w:val="Heading1"/>
        <w:numPr>
          <w:ilvl w:val="1"/>
          <w:numId w:val="1"/>
        </w:numPr>
        <w:rPr>
          <w:rFonts w:ascii="Times New Roman" w:eastAsiaTheme="minorEastAsia" w:hAnsi="Times New Roman" w:cs="Times New Roman"/>
          <w:sz w:val="24"/>
        </w:rPr>
      </w:pPr>
      <w:r>
        <w:rPr>
          <w:rFonts w:ascii="Times New Roman" w:eastAsiaTheme="minorEastAsia" w:hAnsi="Times New Roman" w:cs="Times New Roman"/>
          <w:sz w:val="24"/>
        </w:rPr>
        <w:t>On-Off control</w:t>
      </w:r>
    </w:p>
    <w:p w:rsidR="006222E5" w:rsidRPr="00EF0730" w:rsidRDefault="006222E5" w:rsidP="009E0195">
      <w:r w:rsidRPr="00EF0730">
        <w:t>RAN1 #109e</w:t>
      </w:r>
      <w:r>
        <w:t xml:space="preserve"> reached the following agreement for On-Off control of NCR-Fwd</w:t>
      </w:r>
      <w:r w:rsidRPr="00EF0730">
        <w:t xml:space="preserve">. </w:t>
      </w:r>
    </w:p>
    <w:tbl>
      <w:tblPr>
        <w:tblStyle w:val="TableGrid"/>
        <w:tblW w:w="0" w:type="auto"/>
        <w:tblLook w:val="04A0"/>
      </w:tblPr>
      <w:tblGrid>
        <w:gridCol w:w="9288"/>
      </w:tblGrid>
      <w:tr w:rsidR="006222E5" w:rsidTr="006222E5">
        <w:tc>
          <w:tcPr>
            <w:tcW w:w="9288" w:type="dxa"/>
          </w:tcPr>
          <w:p w:rsidR="006222E5" w:rsidRPr="00930833" w:rsidRDefault="006222E5" w:rsidP="006222E5">
            <w:pPr>
              <w:rPr>
                <w:rStyle w:val="Emphasis"/>
                <w:rFonts w:ascii="Times" w:hAnsi="Times" w:cs="Times"/>
                <w:b/>
                <w:bCs/>
                <w:i w:val="0"/>
                <w:szCs w:val="20"/>
                <w:highlight w:val="green"/>
                <w:shd w:val="clear" w:color="auto" w:fill="FFFF00"/>
              </w:rPr>
            </w:pPr>
            <w:r w:rsidRPr="00930833">
              <w:rPr>
                <w:rStyle w:val="Emphasis"/>
                <w:rFonts w:ascii="Times" w:hAnsi="Times" w:cs="Times"/>
                <w:b/>
                <w:bCs/>
                <w:i w:val="0"/>
                <w:szCs w:val="20"/>
                <w:highlight w:val="green"/>
              </w:rPr>
              <w:t>A</w:t>
            </w:r>
            <w:r>
              <w:rPr>
                <w:rStyle w:val="Emphasis"/>
                <w:rFonts w:ascii="Times" w:hAnsi="Times" w:cs="Times"/>
                <w:b/>
                <w:bCs/>
                <w:i w:val="0"/>
                <w:szCs w:val="20"/>
                <w:highlight w:val="green"/>
              </w:rPr>
              <w:t>g</w:t>
            </w:r>
            <w:r w:rsidRPr="00930833">
              <w:rPr>
                <w:rStyle w:val="Emphasis"/>
                <w:rFonts w:ascii="Times" w:hAnsi="Times" w:cs="Times"/>
                <w:b/>
                <w:bCs/>
                <w:i w:val="0"/>
                <w:szCs w:val="20"/>
                <w:highlight w:val="green"/>
              </w:rPr>
              <w:t>reement</w:t>
            </w:r>
          </w:p>
          <w:p w:rsidR="006222E5" w:rsidRPr="00D646B2" w:rsidRDefault="006222E5" w:rsidP="006222E5">
            <w:r w:rsidRPr="00D646B2">
              <w:rPr>
                <w:iCs/>
              </w:rPr>
              <w:t>ON-OFF information is beneficial and recommended for network-controlled repeater to control the behaviour of NCR-</w:t>
            </w:r>
            <w:r w:rsidRPr="00124DF6">
              <w:rPr>
                <w:rFonts w:eastAsia="Malgun Gothic"/>
                <w:iCs/>
                <w:lang w:eastAsia="zh-CN"/>
              </w:rPr>
              <w:t>F</w:t>
            </w:r>
            <w:r>
              <w:rPr>
                <w:rFonts w:eastAsia="Malgun Gothic"/>
                <w:iCs/>
                <w:lang w:eastAsia="zh-CN"/>
              </w:rPr>
              <w:t>wd</w:t>
            </w:r>
            <w:r w:rsidRPr="00D646B2">
              <w:rPr>
                <w:iCs/>
              </w:rPr>
              <w:t>.</w:t>
            </w:r>
          </w:p>
          <w:p w:rsidR="006222E5" w:rsidRPr="00D646B2" w:rsidRDefault="006222E5" w:rsidP="006222E5">
            <w:pPr>
              <w:numPr>
                <w:ilvl w:val="0"/>
                <w:numId w:val="22"/>
              </w:numPr>
            </w:pPr>
            <w:r w:rsidRPr="00D646B2">
              <w:rPr>
                <w:iCs/>
              </w:rPr>
              <w:t>FFS: Detailed mechanism of ON-OFF indication and determination</w:t>
            </w:r>
          </w:p>
          <w:p w:rsidR="006222E5" w:rsidRPr="00D646B2" w:rsidRDefault="006222E5" w:rsidP="006222E5">
            <w:pPr>
              <w:numPr>
                <w:ilvl w:val="0"/>
                <w:numId w:val="22"/>
              </w:numPr>
            </w:pPr>
            <w:r w:rsidRPr="00D646B2">
              <w:rPr>
                <w:iCs/>
              </w:rPr>
              <w:t>FFS: explicit indication or implicit indication of ON-OFF information</w:t>
            </w:r>
          </w:p>
          <w:p w:rsidR="006222E5" w:rsidRDefault="006222E5" w:rsidP="006222E5">
            <w:pPr>
              <w:jc w:val="both"/>
              <w:rPr>
                <w:rFonts w:eastAsiaTheme="minorEastAsia"/>
                <w:bCs/>
                <w:szCs w:val="20"/>
                <w:lang w:eastAsia="zh-CN"/>
              </w:rPr>
            </w:pPr>
          </w:p>
          <w:p w:rsidR="001F69DD" w:rsidRPr="00924A53" w:rsidRDefault="001F69DD" w:rsidP="001F69DD">
            <w:pPr>
              <w:outlineLvl w:val="0"/>
              <w:rPr>
                <w:rFonts w:eastAsia="Malgun Gothic" w:cs="Times"/>
                <w:szCs w:val="20"/>
                <w:highlight w:val="green"/>
                <w:lang w:eastAsia="ja-JP"/>
              </w:rPr>
            </w:pPr>
            <w:r w:rsidRPr="00924A53">
              <w:rPr>
                <w:rFonts w:cs="Times"/>
                <w:b/>
                <w:bCs/>
                <w:szCs w:val="20"/>
                <w:highlight w:val="green"/>
                <w:lang w:eastAsia="ja-JP"/>
              </w:rPr>
              <w:t>Agreement</w:t>
            </w:r>
          </w:p>
          <w:p w:rsidR="001F69DD" w:rsidRPr="00924A53" w:rsidRDefault="001F69DD" w:rsidP="001F69DD">
            <w:pPr>
              <w:overflowPunct w:val="0"/>
              <w:autoSpaceDE w:val="0"/>
              <w:autoSpaceDN w:val="0"/>
              <w:textAlignment w:val="baseline"/>
              <w:rPr>
                <w:rFonts w:cs="Times"/>
                <w:iCs/>
                <w:szCs w:val="20"/>
                <w:lang w:eastAsia="ko-KR"/>
              </w:rPr>
            </w:pPr>
            <w:r w:rsidRPr="00924A53">
              <w:rPr>
                <w:rFonts w:cs="Times"/>
                <w:iCs/>
                <w:szCs w:val="20"/>
              </w:rPr>
              <w:t>For indication of NCR-F</w:t>
            </w:r>
            <w:r>
              <w:rPr>
                <w:rFonts w:cs="Times"/>
                <w:iCs/>
                <w:szCs w:val="20"/>
              </w:rPr>
              <w:t>wd</w:t>
            </w:r>
            <w:r w:rsidRPr="00924A53">
              <w:rPr>
                <w:rFonts w:cs="Times"/>
                <w:iCs/>
                <w:szCs w:val="20"/>
              </w:rPr>
              <w:t xml:space="preserve"> ON-OFF for efficient interference management and improved energy efficiency, both dynamic and semi-static indication can be considered</w:t>
            </w:r>
            <w:r w:rsidRPr="00924A53">
              <w:rPr>
                <w:rFonts w:cs="Times"/>
              </w:rPr>
              <w:t xml:space="preserve"> </w:t>
            </w:r>
          </w:p>
          <w:p w:rsidR="001F69DD" w:rsidRPr="00924A53" w:rsidRDefault="001F69DD" w:rsidP="001F69DD">
            <w:pPr>
              <w:numPr>
                <w:ilvl w:val="0"/>
                <w:numId w:val="26"/>
              </w:numPr>
              <w:overflowPunct w:val="0"/>
              <w:autoSpaceDE w:val="0"/>
              <w:autoSpaceDN w:val="0"/>
              <w:snapToGrid w:val="0"/>
              <w:textAlignment w:val="baseline"/>
              <w:rPr>
                <w:rFonts w:cs="Times"/>
                <w:iCs/>
                <w:szCs w:val="20"/>
              </w:rPr>
            </w:pPr>
            <w:r w:rsidRPr="00924A53">
              <w:rPr>
                <w:rFonts w:cs="Times"/>
                <w:iCs/>
                <w:szCs w:val="20"/>
              </w:rPr>
              <w:t>FFS: RAN1 to consider whether/how to handle the forwarding of broadcast and cell-specific signals/channels.</w:t>
            </w:r>
          </w:p>
          <w:p w:rsidR="001F69DD" w:rsidRDefault="001F69DD" w:rsidP="006222E5">
            <w:pPr>
              <w:jc w:val="both"/>
              <w:rPr>
                <w:rFonts w:eastAsiaTheme="minorEastAsia"/>
                <w:bCs/>
                <w:szCs w:val="20"/>
                <w:lang w:eastAsia="zh-CN"/>
              </w:rPr>
            </w:pPr>
          </w:p>
          <w:p w:rsidR="006222E5" w:rsidRPr="00674D58" w:rsidRDefault="006222E5" w:rsidP="006222E5">
            <w:pPr>
              <w:rPr>
                <w:rStyle w:val="Emphasis"/>
                <w:b/>
                <w:bCs/>
                <w:i w:val="0"/>
                <w:szCs w:val="20"/>
                <w:highlight w:val="green"/>
                <w:shd w:val="clear" w:color="auto" w:fill="FFFF00"/>
              </w:rPr>
            </w:pPr>
            <w:r w:rsidRPr="00674D58">
              <w:rPr>
                <w:rStyle w:val="Emphasis"/>
                <w:b/>
                <w:bCs/>
                <w:i w:val="0"/>
                <w:szCs w:val="20"/>
                <w:highlight w:val="green"/>
              </w:rPr>
              <w:t>Agreement</w:t>
            </w:r>
          </w:p>
          <w:p w:rsidR="006222E5" w:rsidRPr="00674D58" w:rsidRDefault="006222E5" w:rsidP="006222E5">
            <w:pPr>
              <w:snapToGrid w:val="0"/>
              <w:rPr>
                <w:iCs/>
                <w:szCs w:val="20"/>
                <w:lang w:eastAsia="zh-CN"/>
              </w:rPr>
            </w:pPr>
            <w:r w:rsidRPr="00674D58">
              <w:rPr>
                <w:bCs/>
                <w:iCs/>
                <w:szCs w:val="20"/>
                <w:lang w:eastAsia="zh-CN"/>
              </w:rPr>
              <w:t>The following options can be considered to indicate the ON-OFF information from gNB to NCR for controlling the behaviour of NCR-Fwd:</w:t>
            </w:r>
          </w:p>
          <w:p w:rsidR="006222E5" w:rsidRPr="00674D58" w:rsidRDefault="006222E5" w:rsidP="006222E5">
            <w:pPr>
              <w:pStyle w:val="ListParagraph"/>
              <w:numPr>
                <w:ilvl w:val="0"/>
                <w:numId w:val="22"/>
              </w:numPr>
              <w:adjustRightInd w:val="0"/>
              <w:snapToGrid w:val="0"/>
              <w:ind w:firstLineChars="0"/>
              <w:rPr>
                <w:rFonts w:ascii="Times New Roman" w:hAnsi="Times New Roman" w:cs="Times New Roman"/>
                <w:sz w:val="20"/>
                <w:szCs w:val="20"/>
              </w:rPr>
            </w:pPr>
            <w:r w:rsidRPr="00674D58">
              <w:rPr>
                <w:rFonts w:ascii="Times New Roman" w:hAnsi="Times New Roman" w:cs="Times New Roman"/>
                <w:sz w:val="20"/>
                <w:szCs w:val="20"/>
              </w:rPr>
              <w:t>Option 1: Explicit indication with on-off state (e.g., via dynamic or semi-static signalling) or on-off pattern (e.g., periodic</w:t>
            </w:r>
            <w:r w:rsidRPr="00674D58">
              <w:rPr>
                <w:rFonts w:ascii="Times New Roman" w:hAnsi="Times New Roman" w:cs="Times New Roman"/>
                <w:iCs/>
                <w:sz w:val="20"/>
                <w:szCs w:val="20"/>
              </w:rPr>
              <w:t>/semi-static</w:t>
            </w:r>
            <w:r w:rsidRPr="00674D58">
              <w:rPr>
                <w:rFonts w:ascii="Times New Roman" w:hAnsi="Times New Roman" w:cs="Times New Roman"/>
                <w:sz w:val="20"/>
                <w:szCs w:val="20"/>
              </w:rPr>
              <w:t xml:space="preserve"> ON-OFF pattern or new DRX-like pattern for ON-OFF)</w:t>
            </w:r>
          </w:p>
          <w:p w:rsidR="006222E5" w:rsidRPr="00674D58" w:rsidRDefault="006222E5" w:rsidP="006222E5">
            <w:pPr>
              <w:pStyle w:val="ListParagraph"/>
              <w:numPr>
                <w:ilvl w:val="0"/>
                <w:numId w:val="22"/>
              </w:numPr>
              <w:adjustRightInd w:val="0"/>
              <w:snapToGrid w:val="0"/>
              <w:ind w:firstLineChars="0"/>
              <w:rPr>
                <w:rFonts w:ascii="Times New Roman" w:hAnsi="Times New Roman" w:cs="Times New Roman"/>
                <w:sz w:val="20"/>
                <w:szCs w:val="20"/>
              </w:rPr>
            </w:pPr>
            <w:r w:rsidRPr="00674D58">
              <w:rPr>
                <w:rFonts w:ascii="Times New Roman" w:hAnsi="Times New Roman" w:cs="Times New Roman"/>
                <w:sz w:val="20"/>
                <w:szCs w:val="20"/>
              </w:rPr>
              <w:t>Option 2: Implicit indication via the signalling for other information (e.g., beam, DL/UL configuration, or PC information)</w:t>
            </w:r>
          </w:p>
          <w:p w:rsidR="006222E5" w:rsidRPr="00674D58" w:rsidRDefault="006222E5" w:rsidP="006222E5">
            <w:pPr>
              <w:pStyle w:val="ListParagraph"/>
              <w:numPr>
                <w:ilvl w:val="1"/>
                <w:numId w:val="22"/>
              </w:numPr>
              <w:adjustRightInd w:val="0"/>
              <w:snapToGrid w:val="0"/>
              <w:ind w:firstLineChars="0"/>
              <w:rPr>
                <w:rFonts w:ascii="Times New Roman" w:hAnsi="Times New Roman" w:cs="Times New Roman"/>
                <w:sz w:val="20"/>
                <w:szCs w:val="20"/>
              </w:rPr>
            </w:pPr>
            <w:r w:rsidRPr="00674D58">
              <w:rPr>
                <w:rFonts w:ascii="Times New Roman" w:hAnsi="Times New Roman" w:cs="Times New Roman"/>
                <w:iCs/>
                <w:sz w:val="20"/>
                <w:szCs w:val="20"/>
              </w:rPr>
              <w:t>Note: This example does not imply that PC information is necessary or not.</w:t>
            </w:r>
          </w:p>
          <w:p w:rsidR="006222E5" w:rsidRPr="006222E5" w:rsidRDefault="006222E5" w:rsidP="00EF0730">
            <w:pPr>
              <w:pStyle w:val="ListParagraph"/>
              <w:numPr>
                <w:ilvl w:val="0"/>
                <w:numId w:val="22"/>
              </w:numPr>
              <w:adjustRightInd w:val="0"/>
              <w:snapToGrid w:val="0"/>
              <w:ind w:firstLineChars="0"/>
              <w:rPr>
                <w:rFonts w:ascii="Times New Roman" w:hAnsi="Times New Roman" w:cs="Times New Roman"/>
                <w:sz w:val="20"/>
                <w:szCs w:val="20"/>
              </w:rPr>
            </w:pPr>
            <w:r w:rsidRPr="00674D58">
              <w:rPr>
                <w:rFonts w:ascii="Times New Roman" w:hAnsi="Times New Roman" w:cs="Times New Roman"/>
                <w:sz w:val="20"/>
                <w:szCs w:val="20"/>
              </w:rPr>
              <w:t xml:space="preserve">Other solutions (e.g., potential combination of explicit and implication solution) can be further </w:t>
            </w:r>
            <w:r w:rsidRPr="00674D58">
              <w:rPr>
                <w:rFonts w:ascii="Times New Roman" w:hAnsi="Times New Roman" w:cs="Times New Roman"/>
                <w:sz w:val="20"/>
                <w:szCs w:val="20"/>
              </w:rPr>
              <w:lastRenderedPageBreak/>
              <w:t>discussed.</w:t>
            </w:r>
          </w:p>
        </w:tc>
      </w:tr>
    </w:tbl>
    <w:p w:rsidR="00EF0730" w:rsidRDefault="00EF0730" w:rsidP="00EF0730">
      <w:pPr>
        <w:pStyle w:val="BodyText"/>
        <w:rPr>
          <w:lang w:eastAsia="zh-CN"/>
        </w:rPr>
      </w:pPr>
    </w:p>
    <w:p w:rsidR="006222E5" w:rsidRDefault="00D27686" w:rsidP="00EF0730">
      <w:pPr>
        <w:pStyle w:val="BodyText"/>
        <w:rPr>
          <w:lang w:eastAsia="zh-CN"/>
        </w:rPr>
      </w:pPr>
      <w:r>
        <w:rPr>
          <w:lang w:eastAsia="zh-CN"/>
        </w:rPr>
        <w:t xml:space="preserve">The dynamic ON-OFF may change the channel state that a UE experiences. As shown in </w:t>
      </w:r>
      <w:r w:rsidR="006D71AF">
        <w:rPr>
          <w:lang w:eastAsia="zh-CN"/>
        </w:rPr>
        <w:fldChar w:fldCharType="begin"/>
      </w:r>
      <w:r>
        <w:rPr>
          <w:lang w:eastAsia="zh-CN"/>
        </w:rPr>
        <w:instrText xml:space="preserve"> REF _Ref110951668 \h </w:instrText>
      </w:r>
      <w:r w:rsidR="006D71AF">
        <w:rPr>
          <w:lang w:eastAsia="zh-CN"/>
        </w:rPr>
      </w:r>
      <w:r w:rsidR="006D71AF">
        <w:rPr>
          <w:lang w:eastAsia="zh-CN"/>
        </w:rPr>
        <w:fldChar w:fldCharType="separate"/>
      </w:r>
      <w:r>
        <w:t xml:space="preserve">Figure </w:t>
      </w:r>
      <w:r>
        <w:rPr>
          <w:noProof/>
        </w:rPr>
        <w:t>2</w:t>
      </w:r>
      <w:r w:rsidR="006D71AF">
        <w:rPr>
          <w:lang w:eastAsia="zh-CN"/>
        </w:rPr>
        <w:fldChar w:fldCharType="end"/>
      </w:r>
      <w:r>
        <w:rPr>
          <w:lang w:eastAsia="zh-CN"/>
        </w:rPr>
        <w:t xml:space="preserve">, UE1 is served by gNB directly, while the </w:t>
      </w:r>
      <w:r w:rsidR="00F370BE">
        <w:rPr>
          <w:lang w:eastAsia="zh-CN"/>
        </w:rPr>
        <w:t>DL signal sent by NCR on access link can also reach UE1. Such UE1 location is possible if no coverage hole is supposed to exist between gNB and NCR.</w:t>
      </w:r>
      <w:r w:rsidR="00A32746">
        <w:rPr>
          <w:lang w:eastAsia="zh-CN"/>
        </w:rPr>
        <w:t xml:space="preserve"> What UE1 observed is the combine</w:t>
      </w:r>
      <w:r w:rsidR="00A979A2">
        <w:rPr>
          <w:lang w:eastAsia="zh-CN"/>
        </w:rPr>
        <w:t>d DL channel effect from Uu DL of gNB and access DL from NCR, without any of</w:t>
      </w:r>
      <w:r w:rsidR="00A32746">
        <w:rPr>
          <w:lang w:eastAsia="zh-CN"/>
        </w:rPr>
        <w:t xml:space="preserve"> </w:t>
      </w:r>
      <w:proofErr w:type="spellStart"/>
      <w:r w:rsidR="00A32746">
        <w:rPr>
          <w:lang w:eastAsia="zh-CN"/>
        </w:rPr>
        <w:t>gNB</w:t>
      </w:r>
      <w:proofErr w:type="spellEnd"/>
      <w:r w:rsidR="00A32746">
        <w:rPr>
          <w:lang w:eastAsia="zh-CN"/>
        </w:rPr>
        <w:t xml:space="preserve">/NCR/UE </w:t>
      </w:r>
      <w:r w:rsidR="00A979A2">
        <w:rPr>
          <w:lang w:eastAsia="zh-CN"/>
        </w:rPr>
        <w:t>being aware of</w:t>
      </w:r>
      <w:r w:rsidR="00A32746">
        <w:rPr>
          <w:lang w:eastAsia="zh-CN"/>
        </w:rPr>
        <w:t xml:space="preserve"> such channel combination.  Then the dynamic ON-OFF of NCR access link would ch</w:t>
      </w:r>
      <w:r w:rsidR="00A979A2">
        <w:rPr>
          <w:lang w:eastAsia="zh-CN"/>
        </w:rPr>
        <w:t>ange the combined channel states</w:t>
      </w:r>
      <w:r w:rsidR="00A32746">
        <w:rPr>
          <w:lang w:eastAsia="zh-CN"/>
        </w:rPr>
        <w:t xml:space="preserve"> to UE1 dynamically, which </w:t>
      </w:r>
      <w:r w:rsidR="00A979A2">
        <w:rPr>
          <w:lang w:eastAsia="zh-CN"/>
        </w:rPr>
        <w:t>may somehow destroy</w:t>
      </w:r>
      <w:r w:rsidR="00A32746">
        <w:rPr>
          <w:lang w:eastAsia="zh-CN"/>
        </w:rPr>
        <w:t xml:space="preserve"> the fundamental assumption for quasi-collocation of channels/signals</w:t>
      </w:r>
      <w:r w:rsidR="00A979A2">
        <w:rPr>
          <w:lang w:eastAsia="zh-CN"/>
        </w:rPr>
        <w:t xml:space="preserve"> from UE1 perspective</w:t>
      </w:r>
      <w:r w:rsidR="00A32746">
        <w:rPr>
          <w:lang w:eastAsia="zh-CN"/>
        </w:rPr>
        <w:t xml:space="preserve">.    </w:t>
      </w:r>
    </w:p>
    <w:p w:rsidR="00D27686" w:rsidRDefault="00D27686" w:rsidP="00D27686">
      <w:pPr>
        <w:pStyle w:val="BodyText"/>
        <w:jc w:val="center"/>
      </w:pPr>
      <w:r>
        <w:object w:dxaOrig="2890" w:dyaOrig="1642">
          <v:shape id="_x0000_i1026" type="#_x0000_t75" style="width:144.6pt;height:82.35pt" o:ole="">
            <v:imagedata r:id="rId11" o:title=""/>
          </v:shape>
          <o:OLEObject Type="Embed" ProgID="Visio.Drawing.11" ShapeID="_x0000_i1026" DrawAspect="Content" ObjectID="_1721684949" r:id="rId12"/>
        </w:object>
      </w:r>
    </w:p>
    <w:p w:rsidR="00D27686" w:rsidRDefault="00D27686" w:rsidP="00D27686">
      <w:pPr>
        <w:pStyle w:val="Caption"/>
        <w:jc w:val="center"/>
      </w:pPr>
      <w:bookmarkStart w:id="3" w:name="_Ref110951668"/>
      <w:r>
        <w:t xml:space="preserve">Figure </w:t>
      </w:r>
      <w:fldSimple w:instr=" SEQ Figure \* ARABIC ">
        <w:r>
          <w:rPr>
            <w:noProof/>
          </w:rPr>
          <w:t>2</w:t>
        </w:r>
      </w:fldSimple>
      <w:bookmarkEnd w:id="3"/>
      <w:r>
        <w:t xml:space="preserve"> Impact of dynamic ON-OFF to a UE served by gNB</w:t>
      </w:r>
    </w:p>
    <w:p w:rsidR="00A32746" w:rsidRPr="001F0EFC" w:rsidRDefault="00A32746" w:rsidP="00A32746">
      <w:pPr>
        <w:rPr>
          <w:b/>
          <w:i/>
          <w:lang w:val="en-GB"/>
        </w:rPr>
      </w:pPr>
      <w:r w:rsidRPr="001F0EFC">
        <w:rPr>
          <w:b/>
          <w:i/>
          <w:lang w:val="en-GB"/>
        </w:rPr>
        <w:t xml:space="preserve">Observation 3: Dynamic ON-OFF of NCR-Fwd may impact the QCL assumption of a UE served by </w:t>
      </w:r>
      <w:r w:rsidR="001F0EFC">
        <w:rPr>
          <w:b/>
          <w:i/>
          <w:lang w:val="en-GB"/>
        </w:rPr>
        <w:t xml:space="preserve">signal from </w:t>
      </w:r>
      <w:r w:rsidRPr="001F0EFC">
        <w:rPr>
          <w:b/>
          <w:i/>
          <w:lang w:val="en-GB"/>
        </w:rPr>
        <w:t xml:space="preserve">gNB </w:t>
      </w:r>
      <w:r w:rsidR="008C70A8" w:rsidRPr="001F0EFC">
        <w:rPr>
          <w:b/>
          <w:i/>
          <w:lang w:val="en-GB"/>
        </w:rPr>
        <w:t xml:space="preserve">and meanwhile being at a spot that the access link signal from NCR-Fwd can reach. </w:t>
      </w:r>
    </w:p>
    <w:p w:rsidR="000175F2" w:rsidRPr="001F0EFC" w:rsidRDefault="000175F2" w:rsidP="00A32746">
      <w:pPr>
        <w:rPr>
          <w:b/>
          <w:i/>
          <w:lang w:val="en-GB"/>
        </w:rPr>
      </w:pPr>
    </w:p>
    <w:p w:rsidR="000175F2" w:rsidRPr="001F0EFC" w:rsidRDefault="000175F2" w:rsidP="00A32746">
      <w:pPr>
        <w:rPr>
          <w:b/>
          <w:i/>
          <w:lang w:val="en-GB"/>
        </w:rPr>
      </w:pPr>
      <w:r w:rsidRPr="001F0EFC">
        <w:rPr>
          <w:b/>
          <w:i/>
          <w:lang w:val="en-GB"/>
        </w:rPr>
        <w:t xml:space="preserve">Proposal 2: RAN1 should study the impact of dynamic ON-OFF of NCR-Fwd access link to a UE served by </w:t>
      </w:r>
      <w:r w:rsidR="00404951">
        <w:rPr>
          <w:b/>
          <w:i/>
          <w:lang w:val="en-GB"/>
        </w:rPr>
        <w:t xml:space="preserve">signal from </w:t>
      </w:r>
      <w:r w:rsidRPr="001F0EFC">
        <w:rPr>
          <w:b/>
          <w:i/>
          <w:lang w:val="en-GB"/>
        </w:rPr>
        <w:t xml:space="preserve">gNB and meanwhile being at a spot that the access link signal from NCR-Fwd can reach. </w:t>
      </w:r>
    </w:p>
    <w:p w:rsidR="000175F2" w:rsidRDefault="001F0EFC" w:rsidP="000175F2">
      <w:pPr>
        <w:pStyle w:val="ListParagraph"/>
        <w:numPr>
          <w:ilvl w:val="0"/>
          <w:numId w:val="24"/>
        </w:numPr>
        <w:ind w:firstLineChars="0"/>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study </w:t>
      </w:r>
      <w:r w:rsidR="000175F2" w:rsidRPr="001F0EFC">
        <w:rPr>
          <w:rFonts w:ascii="Times New Roman" w:hAnsi="Times New Roman" w:cs="Times New Roman"/>
          <w:b/>
          <w:i/>
          <w:sz w:val="20"/>
          <w:szCs w:val="20"/>
          <w:lang w:val="en-GB"/>
        </w:rPr>
        <w:t>assume</w:t>
      </w:r>
      <w:r>
        <w:rPr>
          <w:rFonts w:ascii="Times New Roman" w:hAnsi="Times New Roman" w:cs="Times New Roman"/>
          <w:b/>
          <w:i/>
          <w:sz w:val="20"/>
          <w:szCs w:val="20"/>
          <w:lang w:val="en-GB"/>
        </w:rPr>
        <w:t>s</w:t>
      </w:r>
      <w:r w:rsidR="000175F2" w:rsidRPr="001F0EFC">
        <w:rPr>
          <w:rFonts w:ascii="Times New Roman" w:hAnsi="Times New Roman" w:cs="Times New Roman"/>
          <w:b/>
          <w:i/>
          <w:sz w:val="20"/>
          <w:szCs w:val="20"/>
          <w:lang w:val="en-GB"/>
        </w:rPr>
        <w:t xml:space="preserve"> the UE is legacy UE</w:t>
      </w:r>
      <w:r w:rsidRPr="001F0EFC">
        <w:rPr>
          <w:rFonts w:ascii="Times New Roman" w:hAnsi="Times New Roman" w:cs="Times New Roman"/>
          <w:b/>
          <w:i/>
          <w:sz w:val="20"/>
          <w:szCs w:val="20"/>
          <w:lang w:val="en-GB"/>
        </w:rPr>
        <w:t>.</w:t>
      </w:r>
    </w:p>
    <w:p w:rsidR="001F0EFC" w:rsidRPr="001F0EFC" w:rsidRDefault="001F0EFC" w:rsidP="000175F2">
      <w:pPr>
        <w:pStyle w:val="ListParagraph"/>
        <w:numPr>
          <w:ilvl w:val="0"/>
          <w:numId w:val="24"/>
        </w:numPr>
        <w:ind w:firstLineChars="0"/>
        <w:rPr>
          <w:rFonts w:ascii="Times New Roman" w:hAnsi="Times New Roman" w:cs="Times New Roman"/>
          <w:b/>
          <w:i/>
          <w:sz w:val="20"/>
          <w:szCs w:val="20"/>
          <w:lang w:val="en-GB"/>
        </w:rPr>
      </w:pPr>
      <w:r>
        <w:rPr>
          <w:rFonts w:ascii="Times New Roman" w:hAnsi="Times New Roman" w:cs="Times New Roman"/>
          <w:b/>
          <w:i/>
          <w:sz w:val="20"/>
          <w:szCs w:val="20"/>
          <w:lang w:val="en-GB"/>
        </w:rPr>
        <w:t>The stu</w:t>
      </w:r>
      <w:r w:rsidR="002C6EE9">
        <w:rPr>
          <w:rFonts w:ascii="Times New Roman" w:hAnsi="Times New Roman" w:cs="Times New Roman"/>
          <w:b/>
          <w:i/>
          <w:sz w:val="20"/>
          <w:szCs w:val="20"/>
          <w:lang w:val="en-GB"/>
        </w:rPr>
        <w:t>dy at least focuses on potential impacts to QCL relation maintained in UE</w:t>
      </w:r>
      <w:r>
        <w:rPr>
          <w:rFonts w:ascii="Times New Roman" w:hAnsi="Times New Roman" w:cs="Times New Roman"/>
          <w:b/>
          <w:i/>
          <w:sz w:val="20"/>
          <w:szCs w:val="20"/>
          <w:lang w:val="en-GB"/>
        </w:rPr>
        <w:t xml:space="preserve">. </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1F0EFC" w:rsidP="00F32BB0">
      <w:pPr>
        <w:pStyle w:val="BodyText"/>
        <w:spacing w:beforeLines="50"/>
        <w:rPr>
          <w:rFonts w:eastAsia="SimSun"/>
          <w:lang w:eastAsia="zh-CN"/>
        </w:rPr>
      </w:pPr>
      <w:r>
        <w:rPr>
          <w:rFonts w:eastAsia="SimSun"/>
          <w:lang w:eastAsia="zh-CN"/>
        </w:rPr>
        <w:t>T</w:t>
      </w:r>
      <w:r w:rsidR="00CE2FDF" w:rsidRPr="00B6472C">
        <w:rPr>
          <w:rFonts w:eastAsia="SimSun"/>
          <w:lang w:eastAsia="zh-CN"/>
        </w:rPr>
        <w:t>his contribution</w:t>
      </w:r>
      <w:r>
        <w:rPr>
          <w:rFonts w:eastAsia="SimSun"/>
          <w:lang w:eastAsia="zh-CN"/>
        </w:rPr>
        <w:t xml:space="preserve"> concluded with the following observations and proposals</w:t>
      </w:r>
      <w:r w:rsidR="00493F22">
        <w:rPr>
          <w:rFonts w:eastAsia="SimSun"/>
          <w:lang w:eastAsia="zh-CN"/>
        </w:rPr>
        <w:t>:</w:t>
      </w:r>
    </w:p>
    <w:p w:rsidR="00404951" w:rsidRPr="00404951" w:rsidRDefault="00404951" w:rsidP="00404951">
      <w:pPr>
        <w:spacing w:before="120" w:after="120"/>
        <w:rPr>
          <w:b/>
          <w:i/>
          <w:lang w:val="en-GB"/>
        </w:rPr>
      </w:pPr>
      <w:r w:rsidRPr="00404951">
        <w:rPr>
          <w:b/>
          <w:i/>
          <w:lang w:val="en-GB"/>
        </w:rPr>
        <w:t xml:space="preserve">Observation 1: If the NCR-Fwd UL transmitting timing in RF is used for a NCR-Fwd functionality, such as uplink power amplifying, backhaul-C-link multiplexing and access link On-Off control, the functionality very likely does not align with the UL frame timing in baseband of the UL signal forwarded through NCR-Fwd. </w:t>
      </w:r>
    </w:p>
    <w:p w:rsidR="001F0EFC" w:rsidRPr="008B26B7" w:rsidRDefault="001F0EFC" w:rsidP="001F0EFC">
      <w:pPr>
        <w:pStyle w:val="ListParagraph"/>
        <w:numPr>
          <w:ilvl w:val="0"/>
          <w:numId w:val="24"/>
        </w:numPr>
        <w:spacing w:before="120" w:after="120"/>
        <w:ind w:firstLineChars="0"/>
        <w:rPr>
          <w:rFonts w:ascii="Times New Roman" w:hAnsi="Times New Roman" w:cs="Times New Roman"/>
          <w:b/>
          <w:i/>
          <w:sz w:val="20"/>
          <w:szCs w:val="20"/>
          <w:lang w:val="en-GB"/>
        </w:rPr>
      </w:pPr>
      <w:r w:rsidRPr="00150189">
        <w:rPr>
          <w:rFonts w:ascii="Times New Roman" w:hAnsi="Times New Roman" w:cs="Times New Roman"/>
          <w:b/>
          <w:i/>
          <w:sz w:val="20"/>
          <w:szCs w:val="20"/>
          <w:lang w:val="en-GB"/>
        </w:rPr>
        <w:t xml:space="preserve">The misalignment timing error is </w:t>
      </w:r>
      <w:r w:rsidRPr="00150189">
        <w:rPr>
          <w:rFonts w:ascii="Times New Roman" w:eastAsiaTheme="minorEastAsia" w:hAnsi="Times New Roman" w:cs="Times New Roman"/>
          <w:b/>
          <w:i/>
          <w:sz w:val="20"/>
          <w:szCs w:val="20"/>
          <w:lang w:val="en-GB"/>
        </w:rPr>
        <w:t>16*64T</w:t>
      </w:r>
      <w:r w:rsidRPr="00150189">
        <w:rPr>
          <w:rFonts w:ascii="Times New Roman" w:eastAsiaTheme="minorEastAsia" w:hAnsi="Times New Roman" w:cs="Times New Roman"/>
          <w:b/>
          <w:i/>
          <w:sz w:val="20"/>
          <w:szCs w:val="20"/>
          <w:vertAlign w:val="subscript"/>
          <w:lang w:val="en-GB"/>
        </w:rPr>
        <w:t xml:space="preserve">c </w:t>
      </w:r>
      <w:r>
        <w:rPr>
          <w:rFonts w:ascii="Times New Roman" w:eastAsiaTheme="minorEastAsia" w:hAnsi="Times New Roman" w:cs="Times New Roman"/>
          <w:b/>
          <w:i/>
          <w:sz w:val="20"/>
          <w:szCs w:val="20"/>
          <w:vertAlign w:val="subscript"/>
          <w:lang w:val="en-GB"/>
        </w:rPr>
        <w:t xml:space="preserve"> </w:t>
      </w:r>
      <w:r w:rsidRPr="00150189">
        <w:rPr>
          <w:rFonts w:ascii="Times New Roman" w:hAnsi="Times New Roman" w:cs="Times New Roman"/>
          <w:b/>
          <w:i/>
          <w:sz w:val="20"/>
          <w:szCs w:val="20"/>
          <w:lang w:val="en-GB"/>
        </w:rPr>
        <w:t xml:space="preserve">plus the timing error of alignment between NCR-Fwd RF and NCR-MT RF and the timing error due to NCR-MT internal baseband-to-RF delay. </w:t>
      </w:r>
    </w:p>
    <w:p w:rsidR="001F0EFC" w:rsidRPr="00636D2F" w:rsidRDefault="001F0EFC" w:rsidP="001F0EFC">
      <w:pPr>
        <w:pStyle w:val="BodyText"/>
        <w:spacing w:before="120"/>
        <w:rPr>
          <w:b/>
          <w:i/>
          <w:lang w:eastAsia="zh-CN"/>
        </w:rPr>
      </w:pPr>
      <w:r w:rsidRPr="00636D2F">
        <w:rPr>
          <w:b/>
          <w:i/>
          <w:lang w:eastAsia="zh-CN"/>
        </w:rPr>
        <w:t>Observation 2: The dynamic change of NCR-Fwd amplifying gain may result in more TPC commands</w:t>
      </w:r>
      <w:r w:rsidR="00404951">
        <w:rPr>
          <w:b/>
          <w:i/>
          <w:lang w:eastAsia="zh-CN"/>
        </w:rPr>
        <w:t xml:space="preserve"> for a UE</w:t>
      </w:r>
      <w:r w:rsidRPr="00636D2F">
        <w:rPr>
          <w:b/>
          <w:i/>
          <w:lang w:eastAsia="zh-CN"/>
        </w:rPr>
        <w:t xml:space="preserve">, and unexpected radio link failures after successful random access. </w:t>
      </w:r>
    </w:p>
    <w:p w:rsidR="001F0EFC" w:rsidRPr="001F0EFC" w:rsidRDefault="001F0EFC" w:rsidP="001F0EFC">
      <w:pPr>
        <w:rPr>
          <w:b/>
          <w:i/>
          <w:lang w:val="en-GB"/>
        </w:rPr>
      </w:pPr>
      <w:r w:rsidRPr="001F0EFC">
        <w:rPr>
          <w:b/>
          <w:i/>
          <w:lang w:val="en-GB"/>
        </w:rPr>
        <w:t xml:space="preserve">Observation 3: Dynamic ON-OFF of NCR-Fwd may impact the QCL assumption of a UE served by </w:t>
      </w:r>
      <w:r>
        <w:rPr>
          <w:b/>
          <w:i/>
          <w:lang w:val="en-GB"/>
        </w:rPr>
        <w:t xml:space="preserve">signal from </w:t>
      </w:r>
      <w:r w:rsidRPr="001F0EFC">
        <w:rPr>
          <w:b/>
          <w:i/>
          <w:lang w:val="en-GB"/>
        </w:rPr>
        <w:t xml:space="preserve">gNB and meanwhile being at a spot that the access link signal from NCR-Fwd can reach. </w:t>
      </w:r>
    </w:p>
    <w:p w:rsidR="001F0EFC" w:rsidRDefault="001F0EFC" w:rsidP="001F0EFC">
      <w:pPr>
        <w:spacing w:before="120" w:after="120"/>
        <w:rPr>
          <w:b/>
          <w:i/>
          <w:lang w:val="en-GB"/>
        </w:rPr>
      </w:pPr>
    </w:p>
    <w:p w:rsidR="001F0EFC" w:rsidRPr="001F0EFC" w:rsidRDefault="001F0EFC" w:rsidP="001F0EFC">
      <w:pPr>
        <w:pStyle w:val="BodyText"/>
        <w:spacing w:before="120"/>
        <w:rPr>
          <w:b/>
          <w:i/>
          <w:lang w:eastAsia="zh-CN"/>
        </w:rPr>
      </w:pPr>
      <w:r w:rsidRPr="00636D2F">
        <w:rPr>
          <w:b/>
          <w:i/>
          <w:lang w:eastAsia="zh-CN"/>
        </w:rPr>
        <w:t xml:space="preserve">Proposal 1: Rel-18 NCR does not further pursue dynamic change of NCR-Fwd amplifying gain.  </w:t>
      </w:r>
    </w:p>
    <w:p w:rsidR="001F0EFC" w:rsidRPr="001F0EFC" w:rsidRDefault="001F0EFC" w:rsidP="001F0EFC">
      <w:pPr>
        <w:spacing w:before="120" w:after="120"/>
        <w:rPr>
          <w:b/>
          <w:i/>
          <w:lang w:val="en-GB"/>
        </w:rPr>
      </w:pPr>
      <w:r w:rsidRPr="001F0EFC">
        <w:rPr>
          <w:b/>
          <w:i/>
          <w:lang w:val="en-GB"/>
        </w:rPr>
        <w:t xml:space="preserve">Proposal 2: RAN1 should study the impact of dynamic ON-OFF of NCR-Fwd access link to a UE served by </w:t>
      </w:r>
      <w:r w:rsidR="00404951">
        <w:rPr>
          <w:b/>
          <w:i/>
          <w:lang w:val="en-GB"/>
        </w:rPr>
        <w:t xml:space="preserve">signal from </w:t>
      </w:r>
      <w:r w:rsidRPr="001F0EFC">
        <w:rPr>
          <w:b/>
          <w:i/>
          <w:lang w:val="en-GB"/>
        </w:rPr>
        <w:t xml:space="preserve">gNB and meanwhile being at a spot that the access link signal from NCR-Fwd can reach. </w:t>
      </w:r>
    </w:p>
    <w:p w:rsidR="001F0EFC" w:rsidRDefault="001F0EFC" w:rsidP="001F0EFC">
      <w:pPr>
        <w:pStyle w:val="ListParagraph"/>
        <w:numPr>
          <w:ilvl w:val="0"/>
          <w:numId w:val="24"/>
        </w:numPr>
        <w:spacing w:before="120" w:after="120"/>
        <w:ind w:firstLineChars="0"/>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study </w:t>
      </w:r>
      <w:r w:rsidRPr="001F0EFC">
        <w:rPr>
          <w:rFonts w:ascii="Times New Roman" w:hAnsi="Times New Roman" w:cs="Times New Roman"/>
          <w:b/>
          <w:i/>
          <w:sz w:val="20"/>
          <w:szCs w:val="20"/>
          <w:lang w:val="en-GB"/>
        </w:rPr>
        <w:t>assume</w:t>
      </w:r>
      <w:r>
        <w:rPr>
          <w:rFonts w:ascii="Times New Roman" w:hAnsi="Times New Roman" w:cs="Times New Roman"/>
          <w:b/>
          <w:i/>
          <w:sz w:val="20"/>
          <w:szCs w:val="20"/>
          <w:lang w:val="en-GB"/>
        </w:rPr>
        <w:t>s</w:t>
      </w:r>
      <w:r w:rsidRPr="001F0EFC">
        <w:rPr>
          <w:rFonts w:ascii="Times New Roman" w:hAnsi="Times New Roman" w:cs="Times New Roman"/>
          <w:b/>
          <w:i/>
          <w:sz w:val="20"/>
          <w:szCs w:val="20"/>
          <w:lang w:val="en-GB"/>
        </w:rPr>
        <w:t xml:space="preserve"> the UE is legacy UE.</w:t>
      </w:r>
    </w:p>
    <w:p w:rsidR="002C6EE9" w:rsidRPr="001F0EFC" w:rsidRDefault="002C6EE9" w:rsidP="002C6EE9">
      <w:pPr>
        <w:pStyle w:val="ListParagraph"/>
        <w:numPr>
          <w:ilvl w:val="0"/>
          <w:numId w:val="24"/>
        </w:numPr>
        <w:ind w:firstLineChars="0"/>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study at least focuses on potential impacts to QCL relation maintained in UE. </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874FE3" w:rsidRPr="00693407" w:rsidRDefault="001F0EFC" w:rsidP="00693407">
      <w:pPr>
        <w:pStyle w:val="ListParagraph"/>
        <w:numPr>
          <w:ilvl w:val="0"/>
          <w:numId w:val="20"/>
        </w:numPr>
        <w:spacing w:after="120"/>
        <w:ind w:firstLineChars="0"/>
        <w:rPr>
          <w:rFonts w:ascii="Times New Roman" w:hAnsi="Times New Roman" w:cs="Times New Roman"/>
          <w:sz w:val="20"/>
          <w:szCs w:val="20"/>
        </w:rPr>
      </w:pPr>
      <w:r>
        <w:rPr>
          <w:rFonts w:ascii="Times New Roman" w:hAnsi="Times New Roman" w:cs="Times New Roman"/>
          <w:sz w:val="20"/>
          <w:szCs w:val="20"/>
        </w:rPr>
        <w:t>Chairman notes for RAN1 #109e, v19</w:t>
      </w:r>
    </w:p>
    <w:p w:rsidR="00D25653" w:rsidRPr="007E0D12" w:rsidRDefault="00D25653" w:rsidP="001F0EFC">
      <w:pPr>
        <w:pStyle w:val="ListParagraph"/>
        <w:spacing w:after="200" w:line="276" w:lineRule="auto"/>
        <w:ind w:left="420" w:firstLineChars="0" w:firstLine="0"/>
        <w:rPr>
          <w:rFonts w:ascii="Times New Roman" w:hAnsi="Times New Roman" w:cs="Times New Roman"/>
          <w:color w:val="000000"/>
          <w:sz w:val="20"/>
          <w:szCs w:val="20"/>
        </w:rPr>
      </w:pPr>
    </w:p>
    <w:sectPr w:rsidR="00D25653" w:rsidRPr="007E0D12"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9A2" w:rsidRDefault="00A979A2">
      <w:r>
        <w:separator/>
      </w:r>
    </w:p>
  </w:endnote>
  <w:endnote w:type="continuationSeparator" w:id="0">
    <w:p w:rsidR="00A979A2" w:rsidRDefault="00A979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9A2" w:rsidRDefault="00A979A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79A2" w:rsidRDefault="00A979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93782"/>
      <w:docPartObj>
        <w:docPartGallery w:val="Page Numbers (Bottom of Page)"/>
        <w:docPartUnique/>
      </w:docPartObj>
    </w:sdtPr>
    <w:sdtContent>
      <w:p w:rsidR="00A979A2" w:rsidRDefault="00A979A2">
        <w:pPr>
          <w:pStyle w:val="Footer"/>
          <w:jc w:val="center"/>
        </w:pPr>
        <w:fldSimple w:instr=" PAGE   \* MERGEFORMAT ">
          <w:r w:rsidR="00EF3380">
            <w:rPr>
              <w:noProof/>
            </w:rPr>
            <w:t>3</w:t>
          </w:r>
        </w:fldSimple>
      </w:p>
    </w:sdtContent>
  </w:sdt>
  <w:p w:rsidR="00A979A2" w:rsidRDefault="00A979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9A2" w:rsidRDefault="00A979A2">
      <w:r>
        <w:separator/>
      </w:r>
    </w:p>
  </w:footnote>
  <w:footnote w:type="continuationSeparator" w:id="0">
    <w:p w:rsidR="00A979A2" w:rsidRDefault="00A979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9A2" w:rsidRDefault="00A979A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FF2612"/>
    <w:multiLevelType w:val="hybridMultilevel"/>
    <w:tmpl w:val="31DA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nsid w:val="16DC2C84"/>
    <w:multiLevelType w:val="hybridMultilevel"/>
    <w:tmpl w:val="E1842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344580"/>
    <w:multiLevelType w:val="hybridMultilevel"/>
    <w:tmpl w:val="15BACF38"/>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149C7"/>
    <w:multiLevelType w:val="hybridMultilevel"/>
    <w:tmpl w:val="89ECB0AC"/>
    <w:lvl w:ilvl="0" w:tplc="E2F2E640">
      <w:start w:val="1"/>
      <w:numFmt w:val="bullet"/>
      <w:lvlText w:val=""/>
      <w:lvlJc w:val="left"/>
      <w:pPr>
        <w:ind w:left="420" w:hanging="420"/>
      </w:pPr>
      <w:rPr>
        <w:rFonts w:ascii="Wingdings" w:hAnsi="Wingdings" w:hint="default"/>
      </w:rPr>
    </w:lvl>
    <w:lvl w:ilvl="1" w:tplc="6A7EF34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1E7B05C2"/>
    <w:multiLevelType w:val="hybridMultilevel"/>
    <w:tmpl w:val="305CB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8D03B8"/>
    <w:multiLevelType w:val="hybridMultilevel"/>
    <w:tmpl w:val="98D2534A"/>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1">
    <w:nsid w:val="419B1772"/>
    <w:multiLevelType w:val="hybridMultilevel"/>
    <w:tmpl w:val="3C7CD23C"/>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F840E4"/>
    <w:multiLevelType w:val="hybridMultilevel"/>
    <w:tmpl w:val="6CAC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65744D83"/>
    <w:multiLevelType w:val="hybridMultilevel"/>
    <w:tmpl w:val="075473EA"/>
    <w:lvl w:ilvl="0" w:tplc="0A68787E">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EA33D2"/>
    <w:multiLevelType w:val="hybridMultilevel"/>
    <w:tmpl w:val="A02099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6B7E95"/>
    <w:multiLevelType w:val="hybridMultilevel"/>
    <w:tmpl w:val="D76E285A"/>
    <w:lvl w:ilvl="0" w:tplc="E2F2E640">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2"/>
  </w:num>
  <w:num w:numId="2">
    <w:abstractNumId w:val="20"/>
  </w:num>
  <w:num w:numId="3">
    <w:abstractNumId w:val="21"/>
  </w:num>
  <w:num w:numId="4">
    <w:abstractNumId w:val="18"/>
  </w:num>
  <w:num w:numId="5">
    <w:abstractNumId w:val="13"/>
  </w:num>
  <w:num w:numId="6">
    <w:abstractNumId w:val="0"/>
  </w:num>
  <w:num w:numId="7">
    <w:abstractNumId w:val="2"/>
  </w:num>
  <w:num w:numId="8">
    <w:abstractNumId w:val="9"/>
  </w:num>
  <w:num w:numId="9">
    <w:abstractNumId w:val="5"/>
  </w:num>
  <w:num w:numId="10">
    <w:abstractNumId w:val="6"/>
  </w:num>
  <w:num w:numId="11">
    <w:abstractNumId w:val="19"/>
  </w:num>
  <w:num w:numId="12">
    <w:abstractNumId w:val="14"/>
  </w:num>
  <w:num w:numId="13">
    <w:abstractNumId w:val="16"/>
  </w:num>
  <w:num w:numId="14">
    <w:abstractNumId w:val="12"/>
  </w:num>
  <w:num w:numId="15">
    <w:abstractNumId w:val="22"/>
  </w:num>
  <w:num w:numId="16">
    <w:abstractNumId w:val="15"/>
  </w:num>
  <w:num w:numId="17">
    <w:abstractNumId w:val="17"/>
  </w:num>
  <w:num w:numId="18">
    <w:abstractNumId w:val="3"/>
  </w:num>
  <w:num w:numId="19">
    <w:abstractNumId w:val="10"/>
  </w:num>
  <w:num w:numId="20">
    <w:abstractNumId w:val="11"/>
  </w:num>
  <w:num w:numId="21">
    <w:abstractNumId w:val="4"/>
  </w:num>
  <w:num w:numId="22">
    <w:abstractNumId w:val="12"/>
  </w:num>
  <w:num w:numId="23">
    <w:abstractNumId w:val="8"/>
  </w:num>
  <w:num w:numId="24">
    <w:abstractNumId w:val="1"/>
  </w:num>
  <w:num w:numId="25">
    <w:abstractNumId w:val="12"/>
  </w:num>
  <w:num w:numId="26">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638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5F2"/>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91"/>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1F2"/>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2A"/>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9E7"/>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BF7"/>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BB8"/>
    <w:rsid w:val="000C1C3E"/>
    <w:rsid w:val="000C1D9C"/>
    <w:rsid w:val="000C21EB"/>
    <w:rsid w:val="000C2324"/>
    <w:rsid w:val="000C2432"/>
    <w:rsid w:val="000C24D4"/>
    <w:rsid w:val="000C298D"/>
    <w:rsid w:val="000C29B0"/>
    <w:rsid w:val="000C2C80"/>
    <w:rsid w:val="000C2DD6"/>
    <w:rsid w:val="000C2E7D"/>
    <w:rsid w:val="000C2F04"/>
    <w:rsid w:val="000C372C"/>
    <w:rsid w:val="000C3734"/>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77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0F7C69"/>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517"/>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7F0"/>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95A"/>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20"/>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189"/>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CF2"/>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617"/>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2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0EFC"/>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4F62"/>
    <w:rsid w:val="001F5219"/>
    <w:rsid w:val="001F5622"/>
    <w:rsid w:val="001F5B13"/>
    <w:rsid w:val="001F5BEC"/>
    <w:rsid w:val="001F5E8D"/>
    <w:rsid w:val="001F647A"/>
    <w:rsid w:val="001F6550"/>
    <w:rsid w:val="001F6751"/>
    <w:rsid w:val="001F69DD"/>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BF"/>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2CB"/>
    <w:rsid w:val="0021598A"/>
    <w:rsid w:val="00215A69"/>
    <w:rsid w:val="00215BCF"/>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27FE5"/>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96"/>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B"/>
    <w:rsid w:val="00260C48"/>
    <w:rsid w:val="00260DF5"/>
    <w:rsid w:val="002613CE"/>
    <w:rsid w:val="00261988"/>
    <w:rsid w:val="00261EB2"/>
    <w:rsid w:val="002623DB"/>
    <w:rsid w:val="00262748"/>
    <w:rsid w:val="00262B9E"/>
    <w:rsid w:val="00262BFF"/>
    <w:rsid w:val="00262CCC"/>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ED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CE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C8F"/>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5CAA"/>
    <w:rsid w:val="002B654E"/>
    <w:rsid w:val="002B6776"/>
    <w:rsid w:val="002B685E"/>
    <w:rsid w:val="002B68E5"/>
    <w:rsid w:val="002B68EC"/>
    <w:rsid w:val="002B6CA4"/>
    <w:rsid w:val="002B6FC5"/>
    <w:rsid w:val="002B72C2"/>
    <w:rsid w:val="002B76F2"/>
    <w:rsid w:val="002B7B23"/>
    <w:rsid w:val="002B7D23"/>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4EC6"/>
    <w:rsid w:val="002C50C6"/>
    <w:rsid w:val="002C5413"/>
    <w:rsid w:val="002C5592"/>
    <w:rsid w:val="002C57ED"/>
    <w:rsid w:val="002C5984"/>
    <w:rsid w:val="002C5BBA"/>
    <w:rsid w:val="002C5BC5"/>
    <w:rsid w:val="002C5E65"/>
    <w:rsid w:val="002C62BE"/>
    <w:rsid w:val="002C6318"/>
    <w:rsid w:val="002C6B7F"/>
    <w:rsid w:val="002C6C1B"/>
    <w:rsid w:val="002C6DE2"/>
    <w:rsid w:val="002C6EE9"/>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508"/>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0F"/>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046"/>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D4"/>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37A"/>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5AB"/>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4E78"/>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55A"/>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77A"/>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01"/>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51"/>
    <w:rsid w:val="003A6DEB"/>
    <w:rsid w:val="003A71CA"/>
    <w:rsid w:val="003A7244"/>
    <w:rsid w:val="003A7366"/>
    <w:rsid w:val="003A7426"/>
    <w:rsid w:val="003A7764"/>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398"/>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09"/>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273"/>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A1E"/>
    <w:rsid w:val="00402EC6"/>
    <w:rsid w:val="00403340"/>
    <w:rsid w:val="00403646"/>
    <w:rsid w:val="00403713"/>
    <w:rsid w:val="00403972"/>
    <w:rsid w:val="00403B53"/>
    <w:rsid w:val="00403F05"/>
    <w:rsid w:val="00404951"/>
    <w:rsid w:val="00404B9C"/>
    <w:rsid w:val="00404BED"/>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1E4"/>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47"/>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CD6"/>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87"/>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67B"/>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79"/>
    <w:rsid w:val="004B17FA"/>
    <w:rsid w:val="004B1CAE"/>
    <w:rsid w:val="004B1CB2"/>
    <w:rsid w:val="004B1D42"/>
    <w:rsid w:val="004B2514"/>
    <w:rsid w:val="004B2655"/>
    <w:rsid w:val="004B2B19"/>
    <w:rsid w:val="004B2FAE"/>
    <w:rsid w:val="004B3914"/>
    <w:rsid w:val="004B3C37"/>
    <w:rsid w:val="004B40E4"/>
    <w:rsid w:val="004B4230"/>
    <w:rsid w:val="004B434A"/>
    <w:rsid w:val="004B45D5"/>
    <w:rsid w:val="004B4756"/>
    <w:rsid w:val="004B5010"/>
    <w:rsid w:val="004B51C7"/>
    <w:rsid w:val="004B5D12"/>
    <w:rsid w:val="004B6051"/>
    <w:rsid w:val="004B651C"/>
    <w:rsid w:val="004B6916"/>
    <w:rsid w:val="004B6995"/>
    <w:rsid w:val="004B78D2"/>
    <w:rsid w:val="004B7A28"/>
    <w:rsid w:val="004B7E91"/>
    <w:rsid w:val="004B7FB3"/>
    <w:rsid w:val="004C0066"/>
    <w:rsid w:val="004C032F"/>
    <w:rsid w:val="004C0A42"/>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0D58"/>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473"/>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00A"/>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9CC"/>
    <w:rsid w:val="00573BC4"/>
    <w:rsid w:val="00573CFC"/>
    <w:rsid w:val="00574034"/>
    <w:rsid w:val="00574F55"/>
    <w:rsid w:val="005756A8"/>
    <w:rsid w:val="005761C7"/>
    <w:rsid w:val="00576416"/>
    <w:rsid w:val="005767C9"/>
    <w:rsid w:val="00576D54"/>
    <w:rsid w:val="00576E16"/>
    <w:rsid w:val="0057709B"/>
    <w:rsid w:val="005773BF"/>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7AB"/>
    <w:rsid w:val="0058192F"/>
    <w:rsid w:val="005819B6"/>
    <w:rsid w:val="005822F3"/>
    <w:rsid w:val="0058232E"/>
    <w:rsid w:val="0058284A"/>
    <w:rsid w:val="00582A08"/>
    <w:rsid w:val="00582BE0"/>
    <w:rsid w:val="00582CF2"/>
    <w:rsid w:val="0058327E"/>
    <w:rsid w:val="00583316"/>
    <w:rsid w:val="0058384E"/>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03"/>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8A9"/>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2BA"/>
    <w:rsid w:val="005B353F"/>
    <w:rsid w:val="005B3731"/>
    <w:rsid w:val="005B3DAC"/>
    <w:rsid w:val="005B46A1"/>
    <w:rsid w:val="005B4B9D"/>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A75"/>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9A9"/>
    <w:rsid w:val="00607A35"/>
    <w:rsid w:val="00607EB8"/>
    <w:rsid w:val="00607F16"/>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2E5"/>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46E"/>
    <w:rsid w:val="00636529"/>
    <w:rsid w:val="006365C5"/>
    <w:rsid w:val="00636D2F"/>
    <w:rsid w:val="00636FBA"/>
    <w:rsid w:val="00637502"/>
    <w:rsid w:val="00637F00"/>
    <w:rsid w:val="00637F8A"/>
    <w:rsid w:val="00637FA7"/>
    <w:rsid w:val="00640085"/>
    <w:rsid w:val="00640133"/>
    <w:rsid w:val="006406FF"/>
    <w:rsid w:val="0064077E"/>
    <w:rsid w:val="006407E2"/>
    <w:rsid w:val="00640868"/>
    <w:rsid w:val="0064108F"/>
    <w:rsid w:val="0064162B"/>
    <w:rsid w:val="00641D04"/>
    <w:rsid w:val="00641EC9"/>
    <w:rsid w:val="006420B6"/>
    <w:rsid w:val="0064212C"/>
    <w:rsid w:val="006425FA"/>
    <w:rsid w:val="0064276E"/>
    <w:rsid w:val="006427AB"/>
    <w:rsid w:val="00642947"/>
    <w:rsid w:val="00642B0E"/>
    <w:rsid w:val="00642E66"/>
    <w:rsid w:val="006432F6"/>
    <w:rsid w:val="006436AC"/>
    <w:rsid w:val="00643902"/>
    <w:rsid w:val="00643A9E"/>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C6E"/>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5D9"/>
    <w:rsid w:val="00674674"/>
    <w:rsid w:val="00674734"/>
    <w:rsid w:val="00674740"/>
    <w:rsid w:val="006748B8"/>
    <w:rsid w:val="006748F4"/>
    <w:rsid w:val="00674BBE"/>
    <w:rsid w:val="00674D58"/>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BA6"/>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87BDB"/>
    <w:rsid w:val="00687E8F"/>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07"/>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7FF"/>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877"/>
    <w:rsid w:val="006A0C33"/>
    <w:rsid w:val="006A0D35"/>
    <w:rsid w:val="006A0EA4"/>
    <w:rsid w:val="006A11DE"/>
    <w:rsid w:val="006A188A"/>
    <w:rsid w:val="006A18D9"/>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7E"/>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393"/>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1AF"/>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91E"/>
    <w:rsid w:val="006F4D41"/>
    <w:rsid w:val="006F4F79"/>
    <w:rsid w:val="006F5245"/>
    <w:rsid w:val="006F52E9"/>
    <w:rsid w:val="006F5654"/>
    <w:rsid w:val="006F59FF"/>
    <w:rsid w:val="006F5C1B"/>
    <w:rsid w:val="006F6B9B"/>
    <w:rsid w:val="006F6F48"/>
    <w:rsid w:val="006F6FF3"/>
    <w:rsid w:val="006F71E8"/>
    <w:rsid w:val="006F751D"/>
    <w:rsid w:val="006F79D2"/>
    <w:rsid w:val="006F7DC4"/>
    <w:rsid w:val="006F7E9B"/>
    <w:rsid w:val="00700145"/>
    <w:rsid w:val="00700300"/>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753"/>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B76"/>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192"/>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B17"/>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DC"/>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50F"/>
    <w:rsid w:val="007658A4"/>
    <w:rsid w:val="0076625F"/>
    <w:rsid w:val="00766694"/>
    <w:rsid w:val="007669EE"/>
    <w:rsid w:val="0076736B"/>
    <w:rsid w:val="00767952"/>
    <w:rsid w:val="00767B6E"/>
    <w:rsid w:val="00767D04"/>
    <w:rsid w:val="00770189"/>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B5B"/>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D0C"/>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A92"/>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1ED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13E4"/>
    <w:rsid w:val="007D2555"/>
    <w:rsid w:val="007D28C3"/>
    <w:rsid w:val="007D2AE7"/>
    <w:rsid w:val="007D2B44"/>
    <w:rsid w:val="007D2C58"/>
    <w:rsid w:val="007D2F53"/>
    <w:rsid w:val="007D2F55"/>
    <w:rsid w:val="007D2FFE"/>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0D12"/>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6ED"/>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56"/>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11"/>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666"/>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7CD"/>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9C0"/>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87"/>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E3"/>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6B7"/>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9C5"/>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BED"/>
    <w:rsid w:val="008C4C29"/>
    <w:rsid w:val="008C4E31"/>
    <w:rsid w:val="008C506D"/>
    <w:rsid w:val="008C5323"/>
    <w:rsid w:val="008C5361"/>
    <w:rsid w:val="008C53FF"/>
    <w:rsid w:val="008C5A7E"/>
    <w:rsid w:val="008C695F"/>
    <w:rsid w:val="008C6A18"/>
    <w:rsid w:val="008C6A90"/>
    <w:rsid w:val="008C70A8"/>
    <w:rsid w:val="008C719B"/>
    <w:rsid w:val="008C728D"/>
    <w:rsid w:val="008C73A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1CF"/>
    <w:rsid w:val="00911211"/>
    <w:rsid w:val="0091129B"/>
    <w:rsid w:val="009116F0"/>
    <w:rsid w:val="009118BC"/>
    <w:rsid w:val="00911F1D"/>
    <w:rsid w:val="00912058"/>
    <w:rsid w:val="00912430"/>
    <w:rsid w:val="0091267D"/>
    <w:rsid w:val="009128EB"/>
    <w:rsid w:val="00912B12"/>
    <w:rsid w:val="0091328B"/>
    <w:rsid w:val="00914A2A"/>
    <w:rsid w:val="00914D0C"/>
    <w:rsid w:val="00914E03"/>
    <w:rsid w:val="00914FEC"/>
    <w:rsid w:val="0091503D"/>
    <w:rsid w:val="009156C1"/>
    <w:rsid w:val="009157B5"/>
    <w:rsid w:val="00915B95"/>
    <w:rsid w:val="00915C71"/>
    <w:rsid w:val="00915DB8"/>
    <w:rsid w:val="009164CE"/>
    <w:rsid w:val="009164DC"/>
    <w:rsid w:val="009164E4"/>
    <w:rsid w:val="009168BE"/>
    <w:rsid w:val="0091693F"/>
    <w:rsid w:val="00916DA0"/>
    <w:rsid w:val="00916E0C"/>
    <w:rsid w:val="0091746E"/>
    <w:rsid w:val="00917692"/>
    <w:rsid w:val="00920009"/>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A"/>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DBB"/>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DC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869"/>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195"/>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73"/>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595"/>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74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59E9"/>
    <w:rsid w:val="00A45E85"/>
    <w:rsid w:val="00A46351"/>
    <w:rsid w:val="00A46EA1"/>
    <w:rsid w:val="00A471E6"/>
    <w:rsid w:val="00A4744B"/>
    <w:rsid w:val="00A474A1"/>
    <w:rsid w:val="00A4783F"/>
    <w:rsid w:val="00A47B8C"/>
    <w:rsid w:val="00A5034D"/>
    <w:rsid w:val="00A50511"/>
    <w:rsid w:val="00A51503"/>
    <w:rsid w:val="00A51770"/>
    <w:rsid w:val="00A51BC7"/>
    <w:rsid w:val="00A51BE6"/>
    <w:rsid w:val="00A51D74"/>
    <w:rsid w:val="00A51E67"/>
    <w:rsid w:val="00A5252A"/>
    <w:rsid w:val="00A527B1"/>
    <w:rsid w:val="00A533D1"/>
    <w:rsid w:val="00A535EE"/>
    <w:rsid w:val="00A538A3"/>
    <w:rsid w:val="00A53A90"/>
    <w:rsid w:val="00A54213"/>
    <w:rsid w:val="00A543BD"/>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38A"/>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05D"/>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139"/>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9A2"/>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7DB"/>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46D"/>
    <w:rsid w:val="00B0149E"/>
    <w:rsid w:val="00B018BE"/>
    <w:rsid w:val="00B01F92"/>
    <w:rsid w:val="00B021EE"/>
    <w:rsid w:val="00B022FC"/>
    <w:rsid w:val="00B02548"/>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D2F"/>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4F95"/>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F2E"/>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6B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A2A"/>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5BA6"/>
    <w:rsid w:val="00B96186"/>
    <w:rsid w:val="00B96341"/>
    <w:rsid w:val="00B963BA"/>
    <w:rsid w:val="00B96704"/>
    <w:rsid w:val="00B96833"/>
    <w:rsid w:val="00B969B2"/>
    <w:rsid w:val="00B972C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0C8"/>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5ABD"/>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43"/>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7D2"/>
    <w:rsid w:val="00BF3C43"/>
    <w:rsid w:val="00BF3D92"/>
    <w:rsid w:val="00BF418C"/>
    <w:rsid w:val="00BF4653"/>
    <w:rsid w:val="00BF46FF"/>
    <w:rsid w:val="00BF4744"/>
    <w:rsid w:val="00BF4995"/>
    <w:rsid w:val="00BF51EB"/>
    <w:rsid w:val="00BF5365"/>
    <w:rsid w:val="00BF5A06"/>
    <w:rsid w:val="00BF5B3E"/>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31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87C"/>
    <w:rsid w:val="00C51947"/>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53"/>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237"/>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B7DA9"/>
    <w:rsid w:val="00CC0204"/>
    <w:rsid w:val="00CC07B2"/>
    <w:rsid w:val="00CC1095"/>
    <w:rsid w:val="00CC10FB"/>
    <w:rsid w:val="00CC12A0"/>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83B"/>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04"/>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86"/>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55E"/>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12"/>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B93"/>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B36"/>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337"/>
    <w:rsid w:val="00E867CF"/>
    <w:rsid w:val="00E872E3"/>
    <w:rsid w:val="00E874AF"/>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45"/>
    <w:rsid w:val="00E92FC5"/>
    <w:rsid w:val="00E9322C"/>
    <w:rsid w:val="00E9359D"/>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4"/>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661"/>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291"/>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477"/>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30"/>
    <w:rsid w:val="00EF07EE"/>
    <w:rsid w:val="00EF0859"/>
    <w:rsid w:val="00EF0CD3"/>
    <w:rsid w:val="00EF0EED"/>
    <w:rsid w:val="00EF145B"/>
    <w:rsid w:val="00EF1585"/>
    <w:rsid w:val="00EF202D"/>
    <w:rsid w:val="00EF2A17"/>
    <w:rsid w:val="00EF2C31"/>
    <w:rsid w:val="00EF2D19"/>
    <w:rsid w:val="00EF2E48"/>
    <w:rsid w:val="00EF3380"/>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0E4"/>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047"/>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473"/>
    <w:rsid w:val="00F32691"/>
    <w:rsid w:val="00F32735"/>
    <w:rsid w:val="00F32B86"/>
    <w:rsid w:val="00F32BB0"/>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382"/>
    <w:rsid w:val="00F364E2"/>
    <w:rsid w:val="00F3663C"/>
    <w:rsid w:val="00F3676B"/>
    <w:rsid w:val="00F367F1"/>
    <w:rsid w:val="00F369CD"/>
    <w:rsid w:val="00F36A84"/>
    <w:rsid w:val="00F36E94"/>
    <w:rsid w:val="00F370BE"/>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6A3"/>
    <w:rsid w:val="00F728E1"/>
    <w:rsid w:val="00F72D81"/>
    <w:rsid w:val="00F72FE6"/>
    <w:rsid w:val="00F73063"/>
    <w:rsid w:val="00F73287"/>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10F"/>
    <w:rsid w:val="00F76215"/>
    <w:rsid w:val="00F76367"/>
    <w:rsid w:val="00F7652A"/>
    <w:rsid w:val="00F76797"/>
    <w:rsid w:val="00F76A44"/>
    <w:rsid w:val="00F770C2"/>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40C"/>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1C6D"/>
    <w:rsid w:val="00FB28E1"/>
    <w:rsid w:val="00FB2C0D"/>
    <w:rsid w:val="00FB2DEF"/>
    <w:rsid w:val="00FB32B0"/>
    <w:rsid w:val="00FB34AB"/>
    <w:rsid w:val="00FB3CA7"/>
    <w:rsid w:val="00FB4347"/>
    <w:rsid w:val="00FB44CD"/>
    <w:rsid w:val="00FB48E3"/>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707"/>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6"/>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 w:type="paragraph" w:customStyle="1" w:styleId="Proposal">
    <w:name w:val="Proposal"/>
    <w:basedOn w:val="Normal"/>
    <w:link w:val="ProposalChar"/>
    <w:qFormat/>
    <w:rsid w:val="00971DC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971DC1"/>
    <w:rPr>
      <w:rFonts w:eastAsia="Times New Roman"/>
      <w:b/>
      <w:bCs/>
      <w:lang w:val="en-GB"/>
    </w:rPr>
  </w:style>
  <w:style w:type="character" w:styleId="Emphasis">
    <w:name w:val="Emphasis"/>
    <w:qFormat/>
    <w:rsid w:val="00674D58"/>
    <w:rPr>
      <w:i/>
      <w:iC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2B78C-138D-451A-801A-8AE3EB6C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4</Pages>
  <Words>2000</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139</cp:revision>
  <cp:lastPrinted>2007-08-28T02:45:00Z</cp:lastPrinted>
  <dcterms:created xsi:type="dcterms:W3CDTF">2022-07-11T02:22:00Z</dcterms:created>
  <dcterms:modified xsi:type="dcterms:W3CDTF">2022-08-11T06:03:00Z</dcterms:modified>
</cp:coreProperties>
</file>